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EB200" w14:textId="68DD78FE" w:rsidR="009463BB" w:rsidRPr="007E7813" w:rsidRDefault="005A30FA" w:rsidP="00A86966">
      <w:pPr>
        <w:spacing w:after="120"/>
        <w:rPr>
          <w:b/>
          <w:bCs/>
        </w:rPr>
      </w:pPr>
      <w:r w:rsidRPr="007E7813">
        <w:rPr>
          <w:b/>
          <w:bCs/>
        </w:rPr>
        <w:t>Cohort specific disability trajectories among older women and men in Europe 2004-2017</w:t>
      </w:r>
      <w:r w:rsidR="00D97517" w:rsidRPr="007E7813">
        <w:rPr>
          <w:b/>
          <w:bCs/>
        </w:rPr>
        <w:t>.</w:t>
      </w:r>
    </w:p>
    <w:p w14:paraId="7101FC25" w14:textId="369A88F5" w:rsidR="00FF4F6B" w:rsidRPr="007E7813" w:rsidRDefault="00F46446" w:rsidP="00A86966">
      <w:pPr>
        <w:spacing w:after="360"/>
        <w:rPr>
          <w:b/>
          <w:bCs/>
        </w:rPr>
      </w:pPr>
      <w:r w:rsidRPr="007E7813">
        <w:rPr>
          <w:b/>
        </w:rPr>
        <w:t>Manuscript ID</w:t>
      </w:r>
      <w:r w:rsidR="00096889" w:rsidRPr="007E7813">
        <w:rPr>
          <w:b/>
        </w:rPr>
        <w:t>:</w:t>
      </w:r>
      <w:r w:rsidRPr="007E7813">
        <w:rPr>
          <w:b/>
        </w:rPr>
        <w:t xml:space="preserve"> </w:t>
      </w:r>
      <w:r w:rsidR="007E7813" w:rsidRPr="007E7813">
        <w:rPr>
          <w:b/>
          <w:bCs/>
        </w:rPr>
        <w:t>EJOA-D-21-00095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9"/>
        <w:gridCol w:w="6172"/>
        <w:gridCol w:w="2195"/>
      </w:tblGrid>
      <w:tr w:rsidR="00D97517" w:rsidRPr="00F604B9" w14:paraId="5B3CC6EA" w14:textId="77777777" w:rsidTr="00DC72C8">
        <w:tc>
          <w:tcPr>
            <w:tcW w:w="6383" w:type="dxa"/>
          </w:tcPr>
          <w:p w14:paraId="3F50CDC3" w14:textId="77777777" w:rsidR="00D97517" w:rsidRPr="00F604B9" w:rsidRDefault="00D97517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>Comments and suggestions</w:t>
            </w:r>
          </w:p>
        </w:tc>
        <w:tc>
          <w:tcPr>
            <w:tcW w:w="6944" w:type="dxa"/>
          </w:tcPr>
          <w:p w14:paraId="19F28F81" w14:textId="77777777" w:rsidR="00D97517" w:rsidRPr="00F604B9" w:rsidRDefault="00D97517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>Authors’ reply</w:t>
            </w:r>
          </w:p>
        </w:tc>
        <w:tc>
          <w:tcPr>
            <w:tcW w:w="669" w:type="dxa"/>
          </w:tcPr>
          <w:p w14:paraId="0977FD4A" w14:textId="70751372" w:rsidR="00D97517" w:rsidRPr="00F604B9" w:rsidRDefault="00D97517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>Page</w:t>
            </w:r>
            <w:r w:rsidR="00F604B9">
              <w:rPr>
                <w:rFonts w:asciiTheme="majorBidi" w:hAnsiTheme="majorBidi" w:cstheme="majorBidi"/>
                <w:b/>
                <w:color w:val="000000" w:themeColor="text1"/>
              </w:rPr>
              <w:t>s</w:t>
            </w:r>
          </w:p>
        </w:tc>
      </w:tr>
      <w:tr w:rsidR="00D97517" w:rsidRPr="00F604B9" w14:paraId="0488541E" w14:textId="77777777" w:rsidTr="00DC72C8">
        <w:trPr>
          <w:trHeight w:val="572"/>
        </w:trPr>
        <w:tc>
          <w:tcPr>
            <w:tcW w:w="6383" w:type="dxa"/>
            <w:vAlign w:val="center"/>
          </w:tcPr>
          <w:p w14:paraId="45A7E057" w14:textId="734F553F" w:rsidR="00D97517" w:rsidRPr="00F604B9" w:rsidRDefault="002B777C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  <w:proofErr w:type="gramStart"/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>Editors</w:t>
            </w:r>
            <w:proofErr w:type="gramEnd"/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 xml:space="preserve"> comments</w:t>
            </w:r>
          </w:p>
        </w:tc>
        <w:tc>
          <w:tcPr>
            <w:tcW w:w="6944" w:type="dxa"/>
            <w:vAlign w:val="center"/>
          </w:tcPr>
          <w:p w14:paraId="54564192" w14:textId="77777777" w:rsidR="00D97517" w:rsidRPr="00F604B9" w:rsidRDefault="00D97517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669" w:type="dxa"/>
            <w:vAlign w:val="center"/>
          </w:tcPr>
          <w:p w14:paraId="0C1E6153" w14:textId="77777777" w:rsidR="00D97517" w:rsidRPr="00F604B9" w:rsidRDefault="00D97517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3F5C44" w:rsidRPr="00F604B9" w14:paraId="793703F8" w14:textId="77777777" w:rsidTr="00DC72C8">
        <w:trPr>
          <w:trHeight w:val="572"/>
        </w:trPr>
        <w:tc>
          <w:tcPr>
            <w:tcW w:w="6383" w:type="dxa"/>
          </w:tcPr>
          <w:p w14:paraId="7BCB77C2" w14:textId="77777777" w:rsidR="007F72E3" w:rsidRPr="00F604B9" w:rsidRDefault="006A53E8" w:rsidP="006E49B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>I think the paper is really well-structured and presents some novel findings (</w:t>
            </w:r>
            <w:proofErr w:type="gramStart"/>
            <w:r w:rsidRPr="00F604B9">
              <w:rPr>
                <w:rFonts w:asciiTheme="majorBidi" w:hAnsiTheme="majorBidi" w:cstheme="majorBidi"/>
                <w:sz w:val="24"/>
                <w:szCs w:val="24"/>
              </w:rPr>
              <w:t>i.e.</w:t>
            </w:r>
            <w:proofErr w:type="gramEnd"/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cohort specific analyses). However, after reading the Discussion, I thought it would also be good to have more ideas and a better framing of your main findings. What are possible reasons for country difference (</w:t>
            </w:r>
            <w:proofErr w:type="gramStart"/>
            <w:r w:rsidRPr="00F604B9">
              <w:rPr>
                <w:rFonts w:asciiTheme="majorBidi" w:hAnsiTheme="majorBidi" w:cstheme="majorBidi"/>
                <w:sz w:val="24"/>
                <w:szCs w:val="24"/>
              </w:rPr>
              <w:t>e.g.</w:t>
            </w:r>
            <w:proofErr w:type="gramEnd"/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higher among younger people in Eastern)? Why are sex-differences greater in eastern and southern countries? </w:t>
            </w:r>
          </w:p>
          <w:p w14:paraId="6894B687" w14:textId="77777777" w:rsidR="007F72E3" w:rsidRPr="00F604B9" w:rsidRDefault="007F72E3" w:rsidP="006E49B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08F44B" w14:textId="47BE3F71" w:rsidR="003F5C44" w:rsidRPr="00F604B9" w:rsidRDefault="006A53E8" w:rsidP="006E49B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Given that SHARE allows you to study such differences I think a broader conceptual framing and discussion (beside the empirical analysis) would make your paper stronger. What was the rational (beside the fact that this is how </w:t>
            </w:r>
            <w:proofErr w:type="gramStart"/>
            <w:r w:rsidRPr="00F604B9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proofErr w:type="gramEnd"/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was done before) to regroup countries into the four categories you have used? Do these country-group have similar policies? Do they differ in terms of gender-related aspects or family-policies? This not necessarily needs to be mentioned in the Introduction, but I think the Discussion needs to come up with some ideas. Maybe also because of different</w:t>
            </w:r>
            <w:r w:rsidR="006E49BC"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604B9">
              <w:rPr>
                <w:rFonts w:asciiTheme="majorBidi" w:hAnsiTheme="majorBidi" w:cstheme="majorBidi"/>
                <w:sz w:val="24"/>
                <w:szCs w:val="24"/>
              </w:rPr>
              <w:t>socioeconomic circumstances? There is much literature on this (based on SHARE as well) that could be useful and incorporated here.</w:t>
            </w:r>
          </w:p>
          <w:p w14:paraId="196666FB" w14:textId="66BAD1A1" w:rsidR="005F1F24" w:rsidRPr="00F604B9" w:rsidRDefault="005F1F24" w:rsidP="006E49B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4" w:type="dxa"/>
          </w:tcPr>
          <w:p w14:paraId="13C2BDA3" w14:textId="77777777" w:rsidR="003F5C44" w:rsidRPr="00F604B9" w:rsidRDefault="007F72E3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>We thank the editor for the kind words and for the</w:t>
            </w:r>
            <w:r w:rsidR="00AC3C6B" w:rsidRPr="00F604B9">
              <w:rPr>
                <w:rFonts w:asciiTheme="majorBidi" w:hAnsiTheme="majorBidi" w:cstheme="majorBidi"/>
                <w:color w:val="000000" w:themeColor="text1"/>
              </w:rPr>
              <w:t xml:space="preserve"> thoughtful comments. We have now tried to </w:t>
            </w:r>
            <w:r w:rsidR="00E74E19" w:rsidRPr="00F604B9">
              <w:rPr>
                <w:rFonts w:asciiTheme="majorBidi" w:hAnsiTheme="majorBidi" w:cstheme="majorBidi"/>
                <w:color w:val="000000" w:themeColor="text1"/>
              </w:rPr>
              <w:t xml:space="preserve">address the comments and suggestions in the following fashion: </w:t>
            </w:r>
          </w:p>
          <w:p w14:paraId="52C7691C" w14:textId="2651ABAD" w:rsidR="00021A11" w:rsidRPr="00F604B9" w:rsidRDefault="00021A11" w:rsidP="00021A11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The four country groups are based on a</w:t>
            </w:r>
            <w:r w:rsidR="00676E99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n adapted version of the </w:t>
            </w:r>
            <w:proofErr w:type="spellStart"/>
            <w:r w:rsidR="00676E99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Ferrera</w:t>
            </w:r>
            <w:proofErr w:type="spellEnd"/>
            <w:r w:rsidR="00676E99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(1996) </w:t>
            </w:r>
            <w:r w:rsidR="002C25F7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typology of welfare state models. We have now added </w:t>
            </w:r>
            <w:r w:rsidR="00681E50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an extended motivation of the grouping to the data and methods section</w:t>
            </w:r>
            <w:r w:rsidR="0087035A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.</w:t>
            </w:r>
          </w:p>
          <w:p w14:paraId="2633D4AE" w14:textId="4E50B3BF" w:rsidR="0087035A" w:rsidRPr="00F604B9" w:rsidRDefault="0087035A" w:rsidP="00C72165">
            <w:pPr>
              <w:pStyle w:val="Liststycke"/>
              <w:spacing w:after="120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  <w:p w14:paraId="541F1E97" w14:textId="16ED9963" w:rsidR="008B3FC8" w:rsidRPr="00F604B9" w:rsidRDefault="009344D0" w:rsidP="008B3FC8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We have also added a paragraph in the discussion</w:t>
            </w:r>
            <w:r w:rsidR="00407D34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>, where we discuss potential causes of the greater sex differences in disabilities observed in Eastern and Southern Europe.</w:t>
            </w:r>
            <w:r w:rsidR="006A309F" w:rsidRPr="00F604B9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In addition, we have also included new models in the paper, adjusting for education and income. This adjustment partly, but not wholly, attenuate the sex-gap in disabilities.</w:t>
            </w:r>
          </w:p>
          <w:p w14:paraId="5FB525B5" w14:textId="77777777" w:rsidR="009344D0" w:rsidRPr="00F604B9" w:rsidRDefault="009344D0" w:rsidP="009344D0">
            <w:pPr>
              <w:pStyle w:val="Liststycke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  <w:p w14:paraId="64244D44" w14:textId="77777777" w:rsidR="009344D0" w:rsidRPr="00F604B9" w:rsidRDefault="009344D0" w:rsidP="009344D0">
            <w:pPr>
              <w:pStyle w:val="Liststycke"/>
              <w:spacing w:after="120"/>
              <w:rPr>
                <w:rFonts w:asciiTheme="majorBidi" w:hAnsiTheme="majorBidi" w:cstheme="majorBidi"/>
                <w:color w:val="000000" w:themeColor="text1"/>
                <w:sz w:val="24"/>
              </w:rPr>
            </w:pPr>
          </w:p>
          <w:p w14:paraId="088961CF" w14:textId="0E6C09E1" w:rsidR="00DE6EDD" w:rsidRPr="00F604B9" w:rsidRDefault="00DE6EDD" w:rsidP="00DC72C8">
            <w:p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9" w:type="dxa"/>
          </w:tcPr>
          <w:p w14:paraId="5FFCD4DF" w14:textId="1BE33F14" w:rsidR="003F5C44" w:rsidRPr="002910FE" w:rsidRDefault="00466EDA" w:rsidP="002910FE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 w:rsidRPr="002910FE">
              <w:rPr>
                <w:rFonts w:asciiTheme="majorBidi" w:hAnsiTheme="majorBidi" w:cstheme="majorBidi"/>
                <w:color w:val="000000" w:themeColor="text1"/>
              </w:rPr>
              <w:t>3</w:t>
            </w:r>
            <w:r w:rsidR="00BF481A" w:rsidRPr="002910FE">
              <w:rPr>
                <w:rFonts w:asciiTheme="majorBidi" w:hAnsiTheme="majorBidi" w:cstheme="majorBidi"/>
                <w:color w:val="000000" w:themeColor="text1"/>
              </w:rPr>
              <w:t>-4</w:t>
            </w:r>
          </w:p>
          <w:p w14:paraId="00071501" w14:textId="53C0750B" w:rsidR="00BF481A" w:rsidRPr="002910FE" w:rsidRDefault="00FD6F0E" w:rsidP="002910FE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 w:rsidRPr="002910FE">
              <w:rPr>
                <w:rFonts w:asciiTheme="majorBidi" w:hAnsiTheme="majorBidi" w:cstheme="majorBidi"/>
                <w:color w:val="000000" w:themeColor="text1"/>
              </w:rPr>
              <w:t>8-9</w:t>
            </w:r>
          </w:p>
          <w:p w14:paraId="197A05A3" w14:textId="6C74BC09" w:rsidR="00FD6F0E" w:rsidRPr="002910FE" w:rsidRDefault="00FD6F0E" w:rsidP="002910FE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910FE">
              <w:rPr>
                <w:rFonts w:asciiTheme="majorBidi" w:hAnsiTheme="majorBidi" w:cstheme="majorBidi"/>
                <w:color w:val="000000" w:themeColor="text1"/>
              </w:rPr>
              <w:t xml:space="preserve">Figures 1 &amp; 2 (and the </w:t>
            </w:r>
            <w:r w:rsidR="00B52BBE" w:rsidRPr="002910FE">
              <w:rPr>
                <w:rFonts w:asciiTheme="majorBidi" w:hAnsiTheme="majorBidi" w:cstheme="majorBidi"/>
                <w:color w:val="000000" w:themeColor="text1"/>
              </w:rPr>
              <w:t>corresponding</w:t>
            </w:r>
            <w:r w:rsidR="002910FE" w:rsidRPr="002910FE">
              <w:rPr>
                <w:rFonts w:asciiTheme="majorBidi" w:hAnsiTheme="majorBidi" w:cstheme="majorBidi"/>
                <w:color w:val="000000" w:themeColor="text1"/>
              </w:rPr>
              <w:t xml:space="preserve"> tables in the appendix)</w:t>
            </w:r>
          </w:p>
        </w:tc>
      </w:tr>
      <w:tr w:rsidR="003F5C44" w:rsidRPr="00F604B9" w14:paraId="13DD9762" w14:textId="77777777" w:rsidTr="00DC72C8">
        <w:trPr>
          <w:trHeight w:val="572"/>
        </w:trPr>
        <w:tc>
          <w:tcPr>
            <w:tcW w:w="6383" w:type="dxa"/>
          </w:tcPr>
          <w:p w14:paraId="591FD73F" w14:textId="77777777" w:rsidR="003F5C44" w:rsidRPr="00F604B9" w:rsidRDefault="00E053E2" w:rsidP="00096889">
            <w:pPr>
              <w:spacing w:before="120" w:after="120"/>
              <w:rPr>
                <w:rFonts w:asciiTheme="majorBidi" w:hAnsiTheme="majorBidi" w:cstheme="majorBidi"/>
              </w:rPr>
            </w:pPr>
            <w:r w:rsidRPr="00F604B9">
              <w:rPr>
                <w:rFonts w:asciiTheme="majorBidi" w:hAnsiTheme="majorBidi" w:cstheme="majorBidi"/>
              </w:rPr>
              <w:lastRenderedPageBreak/>
              <w:t>The results section is rather long and could be shortened by highlighting the most important findings from tables and figures. Also, I wondered why you have decided to present findings of pooled analyses in Figure 1 (since this is not really related to your main research question). Why not focussing on the country-specific analyses?</w:t>
            </w:r>
          </w:p>
          <w:p w14:paraId="05E7F12C" w14:textId="3E9AF117" w:rsidR="00E053E2" w:rsidRPr="00F604B9" w:rsidRDefault="00E053E2" w:rsidP="00096889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2E1BD730" w14:textId="6C051721" w:rsidR="006E089D" w:rsidRPr="00F604B9" w:rsidRDefault="00C35DA3" w:rsidP="009B2E22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>We appreciate this comment. We have now shortened the</w:t>
            </w:r>
            <w:r w:rsidR="00D35A17" w:rsidRPr="00F604B9">
              <w:rPr>
                <w:rFonts w:asciiTheme="majorBidi" w:hAnsiTheme="majorBidi" w:cstheme="majorBidi"/>
                <w:color w:val="000000" w:themeColor="text1"/>
              </w:rPr>
              <w:t xml:space="preserve"> results section substantially</w:t>
            </w:r>
            <w:r w:rsidR="001007F7" w:rsidRPr="00F604B9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="00D35A17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1007F7" w:rsidRPr="00F604B9">
              <w:rPr>
                <w:rFonts w:asciiTheme="majorBidi" w:hAnsiTheme="majorBidi" w:cstheme="majorBidi"/>
                <w:color w:val="000000" w:themeColor="text1"/>
              </w:rPr>
              <w:t>m</w:t>
            </w:r>
            <w:r w:rsidR="00D35A17" w:rsidRPr="00F604B9">
              <w:rPr>
                <w:rFonts w:asciiTheme="majorBidi" w:hAnsiTheme="majorBidi" w:cstheme="majorBidi"/>
                <w:color w:val="000000" w:themeColor="text1"/>
              </w:rPr>
              <w:t>ainly by omitting the pooled analyses (as suggested)</w:t>
            </w:r>
            <w:r w:rsidR="00A060DF" w:rsidRPr="00F604B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669" w:type="dxa"/>
          </w:tcPr>
          <w:p w14:paraId="7D1B1ABC" w14:textId="0213F507" w:rsidR="003F5C44" w:rsidRPr="009B2E0A" w:rsidRDefault="009B2E0A" w:rsidP="009B2E0A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5-6</w:t>
            </w:r>
          </w:p>
        </w:tc>
      </w:tr>
      <w:tr w:rsidR="00096889" w:rsidRPr="00F604B9" w14:paraId="17A88E5E" w14:textId="77777777" w:rsidTr="00DC72C8">
        <w:trPr>
          <w:trHeight w:val="572"/>
        </w:trPr>
        <w:tc>
          <w:tcPr>
            <w:tcW w:w="6383" w:type="dxa"/>
          </w:tcPr>
          <w:p w14:paraId="1B65D265" w14:textId="77777777" w:rsidR="00980372" w:rsidRPr="00F604B9" w:rsidRDefault="00980372" w:rsidP="00980372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Please briefly specify how estimated probabilities (denoted “estimated probabilities” in the figure) were exactly predicted? Are these average marginal predictions (based on “margins” in Stata)? </w:t>
            </w:r>
          </w:p>
          <w:p w14:paraId="0EF3B370" w14:textId="6A2899E8" w:rsidR="00096889" w:rsidRPr="00F604B9" w:rsidRDefault="00096889" w:rsidP="00096889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5AB4895B" w14:textId="189A7BA2" w:rsidR="00872DE6" w:rsidRPr="00F604B9" w:rsidRDefault="00A060DF" w:rsidP="00B779A1">
            <w:pPr>
              <w:pStyle w:val="Kommentarer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>We have now clarified in the methods section that we are</w:t>
            </w:r>
            <w:r w:rsidR="00245470"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(as guessed) estimating the probabilities using the ‘margins’ command in Stata.</w:t>
            </w:r>
          </w:p>
          <w:p w14:paraId="36377CA5" w14:textId="65D3CD08" w:rsidR="00096889" w:rsidRPr="00F604B9" w:rsidRDefault="00096889" w:rsidP="00F93A4B">
            <w:pPr>
              <w:pStyle w:val="Kommentar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</w:tcPr>
          <w:p w14:paraId="09B59F2F" w14:textId="5E7A635B" w:rsidR="00096889" w:rsidRPr="008F00E9" w:rsidRDefault="008F00E9" w:rsidP="008F00E9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</w:tr>
      <w:tr w:rsidR="00096889" w:rsidRPr="00F604B9" w14:paraId="61B1833B" w14:textId="77777777" w:rsidTr="00DC72C8">
        <w:trPr>
          <w:trHeight w:val="572"/>
        </w:trPr>
        <w:tc>
          <w:tcPr>
            <w:tcW w:w="6383" w:type="dxa"/>
          </w:tcPr>
          <w:p w14:paraId="6BF23E9B" w14:textId="77777777" w:rsidR="00502FDD" w:rsidRPr="00F604B9" w:rsidRDefault="00502FDD" w:rsidP="00502FDD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>I generally liked the fact that your models do not include too many variables, but I nevertheless wondered if you should not include additional variables to strengthen your finding on country differences and assuring that differences are not due to country-compositions (</w:t>
            </w:r>
            <w:proofErr w:type="gramStart"/>
            <w:r w:rsidRPr="00F604B9">
              <w:rPr>
                <w:rFonts w:asciiTheme="majorBidi" w:hAnsiTheme="majorBidi" w:cstheme="majorBidi"/>
                <w:sz w:val="24"/>
                <w:szCs w:val="24"/>
              </w:rPr>
              <w:t>e.g.</w:t>
            </w:r>
            <w:proofErr w:type="gramEnd"/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 different educational background or different workforce composition?). These indicators are available in SHARE and could be included. </w:t>
            </w:r>
          </w:p>
          <w:p w14:paraId="688F7710" w14:textId="29B596CE" w:rsidR="00096889" w:rsidRPr="00F604B9" w:rsidRDefault="00096889" w:rsidP="00096889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62D77FF8" w14:textId="00AF0434" w:rsidR="009B2960" w:rsidRPr="00F604B9" w:rsidRDefault="00A4281E" w:rsidP="00944C8D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highlight w:val="red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We appreciate this suggestion. We have now included models adjusted for education and </w:t>
            </w:r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 xml:space="preserve">income </w:t>
            </w:r>
            <w:proofErr w:type="gramStart"/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>in order to</w:t>
            </w:r>
            <w:proofErr w:type="gramEnd"/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proofErr w:type="spellStart"/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>analyze</w:t>
            </w:r>
            <w:proofErr w:type="spellEnd"/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 xml:space="preserve"> to what extent the observed patterns can be attributed </w:t>
            </w:r>
            <w:r w:rsidR="005E2C5F" w:rsidRPr="00F604B9">
              <w:rPr>
                <w:rFonts w:asciiTheme="majorBidi" w:hAnsiTheme="majorBidi" w:cstheme="majorBidi"/>
                <w:color w:val="000000" w:themeColor="text1"/>
              </w:rPr>
              <w:t>differences and changes in</w:t>
            </w:r>
            <w:r w:rsidR="0024391B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5E2C5F" w:rsidRPr="00F604B9">
              <w:rPr>
                <w:rFonts w:asciiTheme="majorBidi" w:hAnsiTheme="majorBidi" w:cstheme="majorBidi"/>
                <w:color w:val="000000" w:themeColor="text1"/>
              </w:rPr>
              <w:t>the distribution of socioeconomic conditions.</w:t>
            </w:r>
          </w:p>
        </w:tc>
        <w:tc>
          <w:tcPr>
            <w:tcW w:w="669" w:type="dxa"/>
          </w:tcPr>
          <w:p w14:paraId="02D48247" w14:textId="77777777" w:rsidR="00096889" w:rsidRDefault="00101259" w:rsidP="008F00E9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  <w:p w14:paraId="313C57B1" w14:textId="77777777" w:rsidR="00101259" w:rsidRDefault="008E201C" w:rsidP="008F00E9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  <w:p w14:paraId="2D495DC2" w14:textId="77777777" w:rsidR="008E201C" w:rsidRDefault="0037126E" w:rsidP="008F00E9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8-9</w:t>
            </w:r>
          </w:p>
          <w:p w14:paraId="00554129" w14:textId="1E55F60A" w:rsidR="0037126E" w:rsidRPr="008F00E9" w:rsidRDefault="0037126E" w:rsidP="008F00E9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Figures 1 and 2</w:t>
            </w:r>
          </w:p>
        </w:tc>
      </w:tr>
      <w:tr w:rsidR="00096889" w:rsidRPr="00F604B9" w14:paraId="757B4078" w14:textId="77777777" w:rsidTr="00DC72C8">
        <w:trPr>
          <w:trHeight w:val="572"/>
        </w:trPr>
        <w:tc>
          <w:tcPr>
            <w:tcW w:w="6383" w:type="dxa"/>
          </w:tcPr>
          <w:p w14:paraId="1BC3001C" w14:textId="77777777" w:rsidR="00DF19EA" w:rsidRPr="00F604B9" w:rsidRDefault="00DF19EA" w:rsidP="00DF19EA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 xml:space="preserve">Given that IADL and ADL are also available as count-variables (number of limitations), I think the reader may wonder why you have decided to use a binary indicator in both cases (1+ limitations). This includes loss of information and in case you have run the same analyses with count-variables you may mention this as an additional test of robustness? Or justify your decision more explicitly. </w:t>
            </w:r>
          </w:p>
          <w:p w14:paraId="2BAB77CE" w14:textId="0B50C8F4" w:rsidR="00096889" w:rsidRPr="00F604B9" w:rsidRDefault="00096889" w:rsidP="00096889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6C1FE37D" w14:textId="1DFE2CF5" w:rsidR="00874919" w:rsidRPr="00F604B9" w:rsidRDefault="00F25AC0" w:rsidP="007F0B06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The </w:t>
            </w:r>
            <w:r w:rsidR="002C656D" w:rsidRPr="00F604B9">
              <w:rPr>
                <w:rFonts w:asciiTheme="majorBidi" w:hAnsiTheme="majorBidi" w:cstheme="majorBidi"/>
                <w:color w:val="000000" w:themeColor="text1"/>
              </w:rPr>
              <w:t>rationale for dichotomizing the variables is to make the distinctions between</w:t>
            </w:r>
            <w:r w:rsidR="00CC78FB" w:rsidRPr="00F604B9">
              <w:rPr>
                <w:rFonts w:asciiTheme="majorBidi" w:hAnsiTheme="majorBidi" w:cstheme="majorBidi"/>
                <w:color w:val="000000" w:themeColor="text1"/>
              </w:rPr>
              <w:t xml:space="preserve"> disability/autonomy and</w:t>
            </w:r>
            <w:r w:rsidR="00790C2A" w:rsidRPr="00F604B9">
              <w:rPr>
                <w:rFonts w:asciiTheme="majorBidi" w:hAnsiTheme="majorBidi" w:cstheme="majorBidi"/>
                <w:color w:val="000000" w:themeColor="text1"/>
              </w:rPr>
              <w:t xml:space="preserve"> -</w:t>
            </w:r>
            <w:r w:rsidR="00CC78FB" w:rsidRPr="00F604B9">
              <w:rPr>
                <w:rFonts w:asciiTheme="majorBidi" w:hAnsiTheme="majorBidi" w:cstheme="majorBidi"/>
                <w:color w:val="000000" w:themeColor="text1"/>
              </w:rPr>
              <w:t xml:space="preserve"> on an aggregated level – </w:t>
            </w:r>
            <w:r w:rsidR="00790C2A" w:rsidRPr="00F604B9">
              <w:rPr>
                <w:rFonts w:asciiTheme="majorBidi" w:hAnsiTheme="majorBidi" w:cstheme="majorBidi"/>
                <w:color w:val="000000" w:themeColor="text1"/>
              </w:rPr>
              <w:t xml:space="preserve">to assess </w:t>
            </w:r>
            <w:r w:rsidR="00CC78FB" w:rsidRPr="00F604B9">
              <w:rPr>
                <w:rFonts w:asciiTheme="majorBidi" w:hAnsiTheme="majorBidi" w:cstheme="majorBidi"/>
                <w:color w:val="000000" w:themeColor="text1"/>
              </w:rPr>
              <w:t>the accumulation of non-independent individuals, rather than to assess the average severity</w:t>
            </w:r>
            <w:r w:rsidR="00874919" w:rsidRPr="00F604B9">
              <w:rPr>
                <w:rFonts w:asciiTheme="majorBidi" w:hAnsiTheme="majorBidi" w:cstheme="majorBidi"/>
                <w:color w:val="000000" w:themeColor="text1"/>
              </w:rPr>
              <w:t xml:space="preserve"> of disabilities. We have now added a passage </w:t>
            </w:r>
            <w:r w:rsidR="00407F88" w:rsidRPr="00F604B9">
              <w:rPr>
                <w:rFonts w:asciiTheme="majorBidi" w:hAnsiTheme="majorBidi" w:cstheme="majorBidi"/>
                <w:color w:val="000000" w:themeColor="text1"/>
              </w:rPr>
              <w:t>to</w:t>
            </w:r>
            <w:r w:rsidR="00874919" w:rsidRPr="00F604B9">
              <w:rPr>
                <w:rFonts w:asciiTheme="majorBidi" w:hAnsiTheme="majorBidi" w:cstheme="majorBidi"/>
                <w:color w:val="000000" w:themeColor="text1"/>
              </w:rPr>
              <w:t xml:space="preserve"> the methods section explaining this</w:t>
            </w:r>
            <w:r w:rsidR="007F0B06" w:rsidRPr="00F604B9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669" w:type="dxa"/>
          </w:tcPr>
          <w:p w14:paraId="1E672175" w14:textId="7DBE790A" w:rsidR="00096889" w:rsidRPr="005859EA" w:rsidRDefault="005859EA" w:rsidP="005859EA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</w:tr>
      <w:tr w:rsidR="00096889" w:rsidRPr="00F604B9" w14:paraId="776DCB8C" w14:textId="77777777" w:rsidTr="00DC72C8">
        <w:trPr>
          <w:trHeight w:val="572"/>
        </w:trPr>
        <w:tc>
          <w:tcPr>
            <w:tcW w:w="6383" w:type="dxa"/>
          </w:tcPr>
          <w:p w14:paraId="5F63B0F1" w14:textId="77777777" w:rsidR="000E563C" w:rsidRPr="00F604B9" w:rsidRDefault="000E563C" w:rsidP="000E563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  <w:r w:rsidRPr="00F604B9">
              <w:rPr>
                <w:rFonts w:asciiTheme="majorBidi" w:hAnsiTheme="majorBidi" w:cstheme="majorBidi"/>
                <w:sz w:val="24"/>
                <w:szCs w:val="24"/>
              </w:rPr>
              <w:t>Please carefully check and follow the guidelines for authors, including change of abstract (unstructured) and change of reference style (incl. references in the text by name and year in parentheses).</w:t>
            </w:r>
          </w:p>
          <w:p w14:paraId="0722A24E" w14:textId="07ED9F00" w:rsidR="00096889" w:rsidRPr="00F604B9" w:rsidRDefault="00096889" w:rsidP="00096889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56B94886" w14:textId="5EB976B2" w:rsidR="00096889" w:rsidRPr="00F604B9" w:rsidRDefault="00B31EB8" w:rsidP="00007924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>We thank the editor for drawing our attention to this. We have now revised the manuscript in line with the author guidelines.</w:t>
            </w:r>
          </w:p>
        </w:tc>
        <w:tc>
          <w:tcPr>
            <w:tcW w:w="669" w:type="dxa"/>
          </w:tcPr>
          <w:p w14:paraId="1D2033BE" w14:textId="39F7E7B0" w:rsidR="00096889" w:rsidRPr="00F604B9" w:rsidRDefault="005859EA" w:rsidP="009B2E22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Throughout the entire manuscript</w:t>
            </w:r>
          </w:p>
        </w:tc>
      </w:tr>
      <w:tr w:rsidR="00DC72C8" w:rsidRPr="00F604B9" w14:paraId="2A130AC1" w14:textId="77777777" w:rsidTr="00DC72C8">
        <w:trPr>
          <w:trHeight w:val="572"/>
        </w:trPr>
        <w:tc>
          <w:tcPr>
            <w:tcW w:w="6383" w:type="dxa"/>
          </w:tcPr>
          <w:p w14:paraId="4B9B0B43" w14:textId="77777777" w:rsidR="00DC72C8" w:rsidRPr="00F604B9" w:rsidRDefault="00DC72C8" w:rsidP="000E563C">
            <w:pPr>
              <w:pStyle w:val="Oformateradtex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4" w:type="dxa"/>
          </w:tcPr>
          <w:p w14:paraId="160BD911" w14:textId="77777777" w:rsidR="00DC72C8" w:rsidRPr="00F604B9" w:rsidRDefault="00DC72C8" w:rsidP="00007924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69" w:type="dxa"/>
          </w:tcPr>
          <w:p w14:paraId="5F931ED7" w14:textId="77777777" w:rsidR="00DC72C8" w:rsidRPr="00F604B9" w:rsidRDefault="00DC72C8" w:rsidP="009B2E22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A86966" w:rsidRPr="00F604B9" w14:paraId="369F3C30" w14:textId="77777777" w:rsidTr="00DC72C8">
        <w:trPr>
          <w:trHeight w:val="572"/>
        </w:trPr>
        <w:tc>
          <w:tcPr>
            <w:tcW w:w="6383" w:type="dxa"/>
            <w:vAlign w:val="center"/>
          </w:tcPr>
          <w:p w14:paraId="2F8F3E2D" w14:textId="21D4EAA6" w:rsidR="00A86966" w:rsidRPr="00F604B9" w:rsidRDefault="00A86966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b/>
                <w:color w:val="000000" w:themeColor="text1"/>
              </w:rPr>
              <w:t>Reviewer 2</w:t>
            </w:r>
          </w:p>
        </w:tc>
        <w:tc>
          <w:tcPr>
            <w:tcW w:w="6944" w:type="dxa"/>
            <w:vAlign w:val="center"/>
          </w:tcPr>
          <w:p w14:paraId="25512130" w14:textId="77777777" w:rsidR="00A86966" w:rsidRPr="00F604B9" w:rsidRDefault="00A86966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  <w:tc>
          <w:tcPr>
            <w:tcW w:w="669" w:type="dxa"/>
            <w:vAlign w:val="center"/>
          </w:tcPr>
          <w:p w14:paraId="3472E3F0" w14:textId="77777777" w:rsidR="00A86966" w:rsidRPr="00F604B9" w:rsidRDefault="00A86966" w:rsidP="00713D05">
            <w:pPr>
              <w:spacing w:before="120" w:after="120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</w:tc>
      </w:tr>
      <w:tr w:rsidR="003F5C44" w:rsidRPr="00F604B9" w14:paraId="44368236" w14:textId="77777777" w:rsidTr="00DC72C8">
        <w:trPr>
          <w:trHeight w:val="572"/>
        </w:trPr>
        <w:tc>
          <w:tcPr>
            <w:tcW w:w="6383" w:type="dxa"/>
          </w:tcPr>
          <w:p w14:paraId="72FF76DE" w14:textId="77777777" w:rsidR="003F5C44" w:rsidRPr="00F604B9" w:rsidRDefault="00C525DA" w:rsidP="00F1093B">
            <w:pPr>
              <w:spacing w:before="120" w:after="120"/>
              <w:rPr>
                <w:rFonts w:asciiTheme="majorBidi" w:hAnsiTheme="majorBidi" w:cstheme="majorBidi"/>
              </w:rPr>
            </w:pPr>
            <w:proofErr w:type="gramStart"/>
            <w:r w:rsidRPr="00F604B9">
              <w:rPr>
                <w:rFonts w:asciiTheme="majorBidi" w:hAnsiTheme="majorBidi" w:cstheme="majorBidi"/>
              </w:rPr>
              <w:t>It</w:t>
            </w:r>
            <w:proofErr w:type="gramEnd"/>
            <w:r w:rsidRPr="00F604B9">
              <w:rPr>
                <w:rFonts w:asciiTheme="majorBidi" w:hAnsiTheme="majorBidi" w:cstheme="majorBidi"/>
              </w:rPr>
              <w:t xml:space="preserve"> is would be good to describe more why the authors decided to use mixed effect logistic regression (and perhaps compare with other methods, such as mixed effect </w:t>
            </w:r>
            <w:proofErr w:type="spellStart"/>
            <w:r w:rsidRPr="00F604B9">
              <w:rPr>
                <w:rFonts w:asciiTheme="majorBidi" w:hAnsiTheme="majorBidi" w:cstheme="majorBidi"/>
              </w:rPr>
              <w:t>probit</w:t>
            </w:r>
            <w:proofErr w:type="spellEnd"/>
            <w:r w:rsidRPr="00F604B9">
              <w:rPr>
                <w:rFonts w:asciiTheme="majorBidi" w:hAnsiTheme="majorBidi" w:cstheme="majorBidi"/>
              </w:rPr>
              <w:t xml:space="preserve"> regression or latent growth model).</w:t>
            </w:r>
          </w:p>
          <w:p w14:paraId="1D584925" w14:textId="37848C19" w:rsidR="00C525DA" w:rsidRPr="00F604B9" w:rsidRDefault="00C525DA" w:rsidP="00F1093B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46676134" w14:textId="77777777" w:rsidR="003C6ED5" w:rsidRPr="00F604B9" w:rsidRDefault="00CE1D0E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We appreciate this comment. </w:t>
            </w:r>
            <w:r w:rsidR="0060066A" w:rsidRPr="00F604B9">
              <w:rPr>
                <w:rFonts w:asciiTheme="majorBidi" w:hAnsiTheme="majorBidi" w:cstheme="majorBidi"/>
                <w:color w:val="000000" w:themeColor="text1"/>
              </w:rPr>
              <w:t xml:space="preserve">The main </w:t>
            </w:r>
            <w:r w:rsidR="000829D9" w:rsidRPr="00F604B9">
              <w:rPr>
                <w:rFonts w:asciiTheme="majorBidi" w:hAnsiTheme="majorBidi" w:cstheme="majorBidi"/>
                <w:color w:val="000000" w:themeColor="text1"/>
              </w:rPr>
              <w:t>reason why we use the mixed effect model to start with is</w:t>
            </w:r>
            <w:r w:rsidR="00B51850" w:rsidRPr="00F604B9">
              <w:rPr>
                <w:rFonts w:asciiTheme="majorBidi" w:hAnsiTheme="majorBidi" w:cstheme="majorBidi"/>
                <w:color w:val="000000" w:themeColor="text1"/>
              </w:rPr>
              <w:t xml:space="preserve"> that it has been used</w:t>
            </w:r>
            <w:r w:rsidR="00B94282" w:rsidRPr="00F604B9">
              <w:rPr>
                <w:rFonts w:asciiTheme="majorBidi" w:hAnsiTheme="majorBidi" w:cstheme="majorBidi"/>
                <w:color w:val="000000" w:themeColor="text1"/>
              </w:rPr>
              <w:t xml:space="preserve"> successfully in previous studies to track cohort-specific trajectorie</w:t>
            </w:r>
            <w:r w:rsidR="00862A41" w:rsidRPr="00F604B9">
              <w:rPr>
                <w:rFonts w:asciiTheme="majorBidi" w:hAnsiTheme="majorBidi" w:cstheme="majorBidi"/>
                <w:color w:val="000000" w:themeColor="text1"/>
              </w:rPr>
              <w:t xml:space="preserve">s (cf. Marshall et al. </w:t>
            </w:r>
            <w:r w:rsidR="00B306DE" w:rsidRPr="00F604B9">
              <w:rPr>
                <w:rFonts w:asciiTheme="majorBidi" w:hAnsiTheme="majorBidi" w:cstheme="majorBidi"/>
                <w:color w:val="000000" w:themeColor="text1"/>
              </w:rPr>
              <w:t>2015)</w:t>
            </w:r>
            <w:r w:rsidR="00661117" w:rsidRPr="00F604B9">
              <w:rPr>
                <w:rFonts w:asciiTheme="majorBidi" w:hAnsiTheme="majorBidi" w:cstheme="majorBidi"/>
                <w:color w:val="000000" w:themeColor="text1"/>
              </w:rPr>
              <w:t xml:space="preserve">. </w:t>
            </w:r>
          </w:p>
          <w:p w14:paraId="5EFADD64" w14:textId="4F9D7337" w:rsidR="00E33C9B" w:rsidRPr="00F604B9" w:rsidRDefault="00661117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Since we wanted to </w:t>
            </w:r>
            <w:r w:rsidR="003C6ED5" w:rsidRPr="00F604B9">
              <w:rPr>
                <w:rFonts w:asciiTheme="majorBidi" w:hAnsiTheme="majorBidi" w:cstheme="majorBidi"/>
                <w:color w:val="000000" w:themeColor="text1"/>
              </w:rPr>
              <w:t xml:space="preserve">use mixed effect regression models </w:t>
            </w:r>
            <w:r w:rsidR="008A1CA6" w:rsidRPr="00F604B9">
              <w:rPr>
                <w:rFonts w:asciiTheme="majorBidi" w:hAnsiTheme="majorBidi" w:cstheme="majorBidi"/>
                <w:color w:val="000000" w:themeColor="text1"/>
              </w:rPr>
              <w:t xml:space="preserve">and our outcomes were binary, we opted for the logit link function. </w:t>
            </w:r>
            <w:r w:rsidR="006C2E71" w:rsidRPr="00F604B9">
              <w:rPr>
                <w:rFonts w:asciiTheme="majorBidi" w:hAnsiTheme="majorBidi" w:cstheme="majorBidi"/>
                <w:color w:val="000000" w:themeColor="text1"/>
              </w:rPr>
              <w:t xml:space="preserve">We could, just as well, </w:t>
            </w:r>
            <w:r w:rsidR="000C31D3" w:rsidRPr="00F604B9">
              <w:rPr>
                <w:rFonts w:asciiTheme="majorBidi" w:hAnsiTheme="majorBidi" w:cstheme="majorBidi"/>
                <w:color w:val="000000" w:themeColor="text1"/>
              </w:rPr>
              <w:t xml:space="preserve">have used a </w:t>
            </w:r>
            <w:r w:rsidR="008356CA" w:rsidRPr="00F604B9">
              <w:rPr>
                <w:rFonts w:asciiTheme="majorBidi" w:hAnsiTheme="majorBidi" w:cstheme="majorBidi"/>
                <w:color w:val="000000" w:themeColor="text1"/>
              </w:rPr>
              <w:t xml:space="preserve">mixed effect </w:t>
            </w:r>
            <w:proofErr w:type="spellStart"/>
            <w:r w:rsidR="008356CA" w:rsidRPr="00F604B9">
              <w:rPr>
                <w:rFonts w:asciiTheme="majorBidi" w:hAnsiTheme="majorBidi" w:cstheme="majorBidi"/>
                <w:color w:val="000000" w:themeColor="text1"/>
              </w:rPr>
              <w:t>probit</w:t>
            </w:r>
            <w:proofErr w:type="spellEnd"/>
            <w:r w:rsidR="008356CA" w:rsidRPr="00F604B9">
              <w:rPr>
                <w:rFonts w:asciiTheme="majorBidi" w:hAnsiTheme="majorBidi" w:cstheme="majorBidi"/>
                <w:color w:val="000000" w:themeColor="text1"/>
              </w:rPr>
              <w:t xml:space="preserve"> regression model – as suggested by the reviewer. </w:t>
            </w:r>
            <w:r w:rsidR="004E376D" w:rsidRPr="00F604B9">
              <w:rPr>
                <w:rFonts w:asciiTheme="majorBidi" w:hAnsiTheme="majorBidi" w:cstheme="majorBidi"/>
                <w:color w:val="000000" w:themeColor="text1"/>
              </w:rPr>
              <w:t xml:space="preserve">Yet, as the </w:t>
            </w:r>
            <w:r w:rsidR="00C05F13" w:rsidRPr="00F604B9">
              <w:rPr>
                <w:rFonts w:asciiTheme="majorBidi" w:hAnsiTheme="majorBidi" w:cstheme="majorBidi"/>
                <w:color w:val="000000" w:themeColor="text1"/>
              </w:rPr>
              <w:t xml:space="preserve">estimates are ultimately transformed into </w:t>
            </w:r>
            <w:r w:rsidR="00EA17C0" w:rsidRPr="00F604B9">
              <w:rPr>
                <w:rFonts w:asciiTheme="majorBidi" w:hAnsiTheme="majorBidi" w:cstheme="majorBidi"/>
                <w:color w:val="000000" w:themeColor="text1"/>
              </w:rPr>
              <w:t xml:space="preserve">estimated probabilities – it is unlikely that a </w:t>
            </w:r>
            <w:proofErr w:type="spellStart"/>
            <w:r w:rsidR="00EA17C0" w:rsidRPr="00F604B9">
              <w:rPr>
                <w:rFonts w:asciiTheme="majorBidi" w:hAnsiTheme="majorBidi" w:cstheme="majorBidi"/>
                <w:color w:val="000000" w:themeColor="text1"/>
              </w:rPr>
              <w:t>probit</w:t>
            </w:r>
            <w:proofErr w:type="spellEnd"/>
            <w:r w:rsidR="00EA17C0" w:rsidRPr="00F604B9">
              <w:rPr>
                <w:rFonts w:asciiTheme="majorBidi" w:hAnsiTheme="majorBidi" w:cstheme="majorBidi"/>
                <w:color w:val="000000" w:themeColor="text1"/>
              </w:rPr>
              <w:t xml:space="preserve"> link function would yield substantially different results.</w:t>
            </w:r>
            <w:r w:rsidR="00B94282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0829D9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669" w:type="dxa"/>
          </w:tcPr>
          <w:p w14:paraId="590C3412" w14:textId="67899195" w:rsidR="00695B15" w:rsidRPr="00F604B9" w:rsidRDefault="00695B15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3F5C44" w:rsidRPr="00F604B9" w14:paraId="2455C337" w14:textId="77777777" w:rsidTr="00DC72C8">
        <w:trPr>
          <w:trHeight w:val="572"/>
        </w:trPr>
        <w:tc>
          <w:tcPr>
            <w:tcW w:w="6383" w:type="dxa"/>
          </w:tcPr>
          <w:p w14:paraId="705E27C9" w14:textId="77777777" w:rsidR="003F5C44" w:rsidRPr="00F604B9" w:rsidRDefault="00C62AC3" w:rsidP="00713D05">
            <w:pPr>
              <w:spacing w:before="120" w:after="120"/>
              <w:rPr>
                <w:rFonts w:asciiTheme="majorBidi" w:hAnsiTheme="majorBidi" w:cstheme="majorBidi"/>
              </w:rPr>
            </w:pPr>
            <w:r w:rsidRPr="00F604B9">
              <w:rPr>
                <w:rFonts w:asciiTheme="majorBidi" w:hAnsiTheme="majorBidi" w:cstheme="majorBidi"/>
              </w:rPr>
              <w:t>What does the "robustness of the estimates" mean?</w:t>
            </w:r>
          </w:p>
          <w:p w14:paraId="36282E95" w14:textId="022213CC" w:rsidR="00C62AC3" w:rsidRPr="00F604B9" w:rsidRDefault="00C62AC3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lang w:eastAsia="en-US"/>
              </w:rPr>
            </w:pPr>
          </w:p>
        </w:tc>
        <w:tc>
          <w:tcPr>
            <w:tcW w:w="6944" w:type="dxa"/>
          </w:tcPr>
          <w:p w14:paraId="3ACE203B" w14:textId="77777777" w:rsidR="00F051FC" w:rsidRPr="00F604B9" w:rsidRDefault="00705539" w:rsidP="0078730D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We </w:t>
            </w:r>
            <w:r w:rsidR="00DA4122" w:rsidRPr="00F604B9">
              <w:rPr>
                <w:rFonts w:asciiTheme="majorBidi" w:hAnsiTheme="majorBidi" w:cstheme="majorBidi"/>
                <w:color w:val="000000" w:themeColor="text1"/>
              </w:rPr>
              <w:t xml:space="preserve">agree that this formulation was unnecessarily ambiguous. What we meant to say was that </w:t>
            </w:r>
            <w:r w:rsidR="0073202F" w:rsidRPr="00F604B9">
              <w:rPr>
                <w:rFonts w:asciiTheme="majorBidi" w:hAnsiTheme="majorBidi" w:cstheme="majorBidi"/>
                <w:color w:val="000000" w:themeColor="text1"/>
              </w:rPr>
              <w:t xml:space="preserve">the statistical power for analysing specific countries was too low, and such analyses would yield </w:t>
            </w:r>
            <w:r w:rsidR="00F051FC" w:rsidRPr="00F604B9">
              <w:rPr>
                <w:rFonts w:asciiTheme="majorBidi" w:hAnsiTheme="majorBidi" w:cstheme="majorBidi"/>
                <w:color w:val="000000" w:themeColor="text1"/>
              </w:rPr>
              <w:t xml:space="preserve">volatile and erratic patterns. </w:t>
            </w:r>
          </w:p>
          <w:p w14:paraId="3E8FD894" w14:textId="2A63E9D9" w:rsidR="002C0348" w:rsidRPr="00F604B9" w:rsidRDefault="00F051FC" w:rsidP="0078730D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F604B9">
              <w:rPr>
                <w:rFonts w:asciiTheme="majorBidi" w:hAnsiTheme="majorBidi" w:cstheme="majorBidi"/>
                <w:color w:val="000000" w:themeColor="text1"/>
              </w:rPr>
              <w:lastRenderedPageBreak/>
              <w:t>Therefore</w:t>
            </w:r>
            <w:proofErr w:type="gramEnd"/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 we collapse several countries into regional clusters to “power up” and yield more</w:t>
            </w:r>
            <w:r w:rsidR="00CC700C" w:rsidRPr="00F604B9">
              <w:rPr>
                <w:rFonts w:asciiTheme="majorBidi" w:hAnsiTheme="majorBidi" w:cstheme="majorBidi"/>
                <w:color w:val="000000" w:themeColor="text1"/>
              </w:rPr>
              <w:t xml:space="preserve"> stable patterns. We have now added a passage to the methods section to explain this.</w:t>
            </w:r>
          </w:p>
        </w:tc>
        <w:tc>
          <w:tcPr>
            <w:tcW w:w="669" w:type="dxa"/>
          </w:tcPr>
          <w:p w14:paraId="2F74866D" w14:textId="19B2429B" w:rsidR="003F5C44" w:rsidRPr="007B28F2" w:rsidRDefault="00D110A4" w:rsidP="007B28F2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lastRenderedPageBreak/>
              <w:t>3</w:t>
            </w:r>
          </w:p>
        </w:tc>
      </w:tr>
      <w:tr w:rsidR="003F5C44" w:rsidRPr="00F604B9" w14:paraId="5CE27C81" w14:textId="77777777" w:rsidTr="00DC72C8">
        <w:trPr>
          <w:trHeight w:val="572"/>
        </w:trPr>
        <w:tc>
          <w:tcPr>
            <w:tcW w:w="6383" w:type="dxa"/>
          </w:tcPr>
          <w:p w14:paraId="0F6E17D0" w14:textId="77777777" w:rsidR="003F5C44" w:rsidRPr="00F604B9" w:rsidRDefault="00DC3368" w:rsidP="00713D05">
            <w:pPr>
              <w:spacing w:before="120" w:after="120"/>
              <w:rPr>
                <w:rFonts w:asciiTheme="majorBidi" w:hAnsiTheme="majorBidi" w:cstheme="majorBidi"/>
              </w:rPr>
            </w:pPr>
            <w:r w:rsidRPr="00F604B9">
              <w:rPr>
                <w:rFonts w:asciiTheme="majorBidi" w:hAnsiTheme="majorBidi" w:cstheme="majorBidi"/>
              </w:rPr>
              <w:t>Related to point 2 above, what is its connection with four regions-based groups?</w:t>
            </w:r>
          </w:p>
          <w:p w14:paraId="2C9FB3FD" w14:textId="36C71B46" w:rsidR="00DC3368" w:rsidRPr="00F604B9" w:rsidRDefault="00DC3368" w:rsidP="00713D0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05C8BC71" w14:textId="7218C061" w:rsidR="00CA02BF" w:rsidRPr="00F604B9" w:rsidRDefault="00484989" w:rsidP="00125B6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>The four region-based groups were used to garner enough observations</w:t>
            </w:r>
            <w:r w:rsidR="00DA7A5A" w:rsidRPr="00F604B9">
              <w:rPr>
                <w:rFonts w:asciiTheme="majorBidi" w:hAnsiTheme="majorBidi" w:cstheme="majorBidi"/>
                <w:color w:val="000000" w:themeColor="text1"/>
              </w:rPr>
              <w:t xml:space="preserve"> in each</w:t>
            </w:r>
            <w:r w:rsidRPr="00F604B9">
              <w:rPr>
                <w:rFonts w:asciiTheme="majorBidi" w:hAnsiTheme="majorBidi" w:cstheme="majorBidi"/>
                <w:color w:val="000000" w:themeColor="text1"/>
              </w:rPr>
              <w:t>, even in the oldest age groups, to</w:t>
            </w:r>
            <w:r w:rsidR="00DA7A5A" w:rsidRPr="00F604B9">
              <w:rPr>
                <w:rFonts w:asciiTheme="majorBidi" w:hAnsiTheme="majorBidi" w:cstheme="majorBidi"/>
                <w:color w:val="000000" w:themeColor="text1"/>
              </w:rPr>
              <w:t xml:space="preserve"> get stable and credible</w:t>
            </w:r>
            <w:r w:rsidR="00F57255" w:rsidRPr="00F604B9">
              <w:rPr>
                <w:rFonts w:asciiTheme="majorBidi" w:hAnsiTheme="majorBidi" w:cstheme="majorBidi"/>
                <w:color w:val="000000" w:themeColor="text1"/>
              </w:rPr>
              <w:t xml:space="preserve"> results.</w:t>
            </w: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A019E" w:rsidRPr="00F604B9">
              <w:rPr>
                <w:rFonts w:asciiTheme="majorBidi" w:hAnsiTheme="majorBidi" w:cstheme="majorBidi"/>
                <w:color w:val="000000" w:themeColor="text1"/>
              </w:rPr>
              <w:t>This is now explained in the methods section.</w:t>
            </w:r>
          </w:p>
        </w:tc>
        <w:tc>
          <w:tcPr>
            <w:tcW w:w="669" w:type="dxa"/>
          </w:tcPr>
          <w:p w14:paraId="00F1F221" w14:textId="6C999B95" w:rsidR="00BA3507" w:rsidRPr="004A1EEF" w:rsidRDefault="004A1EEF" w:rsidP="004A1EEF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3-4</w:t>
            </w:r>
          </w:p>
        </w:tc>
      </w:tr>
      <w:tr w:rsidR="003F5C44" w:rsidRPr="00F604B9" w14:paraId="4A8C99AD" w14:textId="77777777" w:rsidTr="00DC72C8">
        <w:trPr>
          <w:trHeight w:val="572"/>
        </w:trPr>
        <w:tc>
          <w:tcPr>
            <w:tcW w:w="6383" w:type="dxa"/>
          </w:tcPr>
          <w:p w14:paraId="49763D72" w14:textId="77777777" w:rsidR="003F5C44" w:rsidRPr="00F604B9" w:rsidRDefault="008F6E84" w:rsidP="00713D05">
            <w:pPr>
              <w:spacing w:before="120" w:after="120"/>
              <w:rPr>
                <w:rFonts w:asciiTheme="majorBidi" w:hAnsiTheme="majorBidi" w:cstheme="majorBidi"/>
              </w:rPr>
            </w:pPr>
            <w:r w:rsidRPr="00F604B9">
              <w:rPr>
                <w:rFonts w:asciiTheme="majorBidi" w:hAnsiTheme="majorBidi" w:cstheme="majorBidi"/>
              </w:rPr>
              <w:t>It would be great to describe reason to create the cohort birth year group 1920-1929, 1930-1939, 1940-1949, etc.</w:t>
            </w:r>
          </w:p>
          <w:p w14:paraId="4A87A0A3" w14:textId="5270B901" w:rsidR="008F6E84" w:rsidRPr="00F604B9" w:rsidRDefault="008F6E84" w:rsidP="00713D05">
            <w:pPr>
              <w:spacing w:before="120" w:after="1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944" w:type="dxa"/>
          </w:tcPr>
          <w:p w14:paraId="502A63C2" w14:textId="4DB90605" w:rsidR="00951BEF" w:rsidRPr="00F604B9" w:rsidRDefault="0089377D" w:rsidP="00222F44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BC37D4" w:rsidRPr="00F604B9">
              <w:rPr>
                <w:rFonts w:asciiTheme="majorBidi" w:hAnsiTheme="majorBidi" w:cstheme="majorBidi"/>
                <w:color w:val="000000" w:themeColor="text1"/>
              </w:rPr>
              <w:t xml:space="preserve">We appreciate this comment. We have now clarified, in the methods section, that the rationale for </w:t>
            </w:r>
            <w:r w:rsidR="005E5A15" w:rsidRPr="00F604B9">
              <w:rPr>
                <w:rFonts w:asciiTheme="majorBidi" w:hAnsiTheme="majorBidi" w:cstheme="majorBidi"/>
                <w:color w:val="000000" w:themeColor="text1"/>
              </w:rPr>
              <w:t xml:space="preserve">dividing the sample into these birth cohorts is to allow us to study the </w:t>
            </w:r>
            <w:r w:rsidR="00D535A6" w:rsidRPr="00F604B9">
              <w:rPr>
                <w:rFonts w:asciiTheme="majorBidi" w:hAnsiTheme="majorBidi" w:cstheme="majorBidi"/>
                <w:color w:val="000000" w:themeColor="text1"/>
              </w:rPr>
              <w:t>cohort-specific trajectories across subsequent birth cohorts.</w:t>
            </w:r>
            <w:r w:rsidR="00BC37D4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669" w:type="dxa"/>
          </w:tcPr>
          <w:p w14:paraId="0541DB74" w14:textId="166DB5BB" w:rsidR="003F5C44" w:rsidRPr="004A1EEF" w:rsidRDefault="0013152A" w:rsidP="004A1EEF">
            <w:pPr>
              <w:pStyle w:val="Liststycke"/>
              <w:numPr>
                <w:ilvl w:val="0"/>
                <w:numId w:val="8"/>
              </w:numPr>
              <w:spacing w:after="120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</w:tr>
      <w:tr w:rsidR="003F5C44" w:rsidRPr="00F604B9" w14:paraId="2C55D198" w14:textId="77777777" w:rsidTr="00DC72C8">
        <w:trPr>
          <w:trHeight w:val="572"/>
        </w:trPr>
        <w:tc>
          <w:tcPr>
            <w:tcW w:w="6383" w:type="dxa"/>
          </w:tcPr>
          <w:p w14:paraId="691B0B5C" w14:textId="77777777" w:rsidR="000B0FB3" w:rsidRPr="00F604B9" w:rsidRDefault="00B222D9" w:rsidP="00A27B45">
            <w:pPr>
              <w:spacing w:before="120" w:after="120"/>
              <w:rPr>
                <w:rFonts w:asciiTheme="majorBidi" w:hAnsiTheme="majorBidi" w:cstheme="majorBidi"/>
              </w:rPr>
            </w:pPr>
            <w:r w:rsidRPr="00F604B9">
              <w:rPr>
                <w:rFonts w:asciiTheme="majorBidi" w:hAnsiTheme="majorBidi" w:cstheme="majorBidi"/>
              </w:rPr>
              <w:t>Is it possible to conduct sensitivity analysis using complete cases only? Or others?</w:t>
            </w:r>
          </w:p>
          <w:p w14:paraId="713903EB" w14:textId="2144D7E4" w:rsidR="00B222D9" w:rsidRPr="00F604B9" w:rsidRDefault="00B222D9" w:rsidP="00A27B45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6944" w:type="dxa"/>
          </w:tcPr>
          <w:p w14:paraId="61863AF0" w14:textId="4D1F2231" w:rsidR="003E3902" w:rsidRPr="00F604B9" w:rsidRDefault="001355CC" w:rsidP="000B0FB3">
            <w:pPr>
              <w:spacing w:before="120" w:after="120"/>
              <w:rPr>
                <w:rFonts w:asciiTheme="majorBidi" w:hAnsiTheme="majorBidi" w:cstheme="majorBidi"/>
                <w:color w:val="000000" w:themeColor="text1"/>
              </w:rPr>
            </w:pPr>
            <w:r w:rsidRPr="00F604B9">
              <w:rPr>
                <w:rFonts w:asciiTheme="majorBidi" w:hAnsiTheme="majorBidi" w:cstheme="majorBidi"/>
                <w:color w:val="000000" w:themeColor="text1"/>
              </w:rPr>
              <w:t xml:space="preserve">We have </w:t>
            </w:r>
            <w:r w:rsidR="00DD1B13" w:rsidRPr="00F604B9">
              <w:rPr>
                <w:rFonts w:asciiTheme="majorBidi" w:hAnsiTheme="majorBidi" w:cstheme="majorBidi"/>
                <w:color w:val="000000" w:themeColor="text1"/>
              </w:rPr>
              <w:t xml:space="preserve">conducted several </w:t>
            </w:r>
            <w:r w:rsidR="006D4214" w:rsidRPr="00F604B9">
              <w:rPr>
                <w:rFonts w:asciiTheme="majorBidi" w:hAnsiTheme="majorBidi" w:cstheme="majorBidi"/>
                <w:color w:val="000000" w:themeColor="text1"/>
              </w:rPr>
              <w:t>sensitivity analyses (</w:t>
            </w:r>
            <w:r w:rsidR="00A35CA3" w:rsidRPr="00F604B9">
              <w:rPr>
                <w:rFonts w:asciiTheme="majorBidi" w:hAnsiTheme="majorBidi" w:cstheme="majorBidi"/>
                <w:color w:val="000000" w:themeColor="text1"/>
              </w:rPr>
              <w:t>which</w:t>
            </w:r>
            <w:r w:rsidR="006D4214" w:rsidRPr="00F604B9">
              <w:rPr>
                <w:rFonts w:asciiTheme="majorBidi" w:hAnsiTheme="majorBidi" w:cstheme="majorBidi"/>
                <w:color w:val="000000" w:themeColor="text1"/>
              </w:rPr>
              <w:t xml:space="preserve"> are not presented</w:t>
            </w:r>
            <w:r w:rsidR="00A35CA3" w:rsidRPr="00F604B9">
              <w:rPr>
                <w:rFonts w:asciiTheme="majorBidi" w:hAnsiTheme="majorBidi" w:cstheme="majorBidi"/>
                <w:color w:val="000000" w:themeColor="text1"/>
              </w:rPr>
              <w:t xml:space="preserve"> in the manuscript</w:t>
            </w:r>
            <w:r w:rsidR="006D4214" w:rsidRPr="00F604B9">
              <w:rPr>
                <w:rFonts w:asciiTheme="majorBidi" w:hAnsiTheme="majorBidi" w:cstheme="majorBidi"/>
                <w:color w:val="000000" w:themeColor="text1"/>
              </w:rPr>
              <w:t xml:space="preserve">, as </w:t>
            </w:r>
            <w:r w:rsidR="00A35CA3" w:rsidRPr="00F604B9">
              <w:rPr>
                <w:rFonts w:asciiTheme="majorBidi" w:hAnsiTheme="majorBidi" w:cstheme="majorBidi"/>
                <w:color w:val="000000" w:themeColor="text1"/>
              </w:rPr>
              <w:t>the</w:t>
            </w:r>
            <w:r w:rsidR="006D4214" w:rsidRPr="00F604B9">
              <w:rPr>
                <w:rFonts w:asciiTheme="majorBidi" w:hAnsiTheme="majorBidi" w:cstheme="majorBidi"/>
                <w:color w:val="000000" w:themeColor="text1"/>
              </w:rPr>
              <w:t xml:space="preserve"> appendix is quite lengthy already).</w:t>
            </w:r>
            <w:r w:rsidR="00A35CA3" w:rsidRPr="00F604B9">
              <w:rPr>
                <w:rFonts w:asciiTheme="majorBidi" w:hAnsiTheme="majorBidi" w:cstheme="majorBidi"/>
                <w:color w:val="000000" w:themeColor="text1"/>
              </w:rPr>
              <w:t xml:space="preserve"> We have r</w:t>
            </w:r>
            <w:r w:rsidR="0082317B" w:rsidRPr="00F604B9">
              <w:rPr>
                <w:rFonts w:asciiTheme="majorBidi" w:hAnsiTheme="majorBidi" w:cstheme="majorBidi"/>
                <w:color w:val="000000" w:themeColor="text1"/>
              </w:rPr>
              <w:t xml:space="preserve">un the models without the weights, and we have run mixed effect linear models with the outcomes as ordinal variables. The results of </w:t>
            </w:r>
            <w:proofErr w:type="gramStart"/>
            <w:r w:rsidR="00A06A65" w:rsidRPr="00F604B9">
              <w:rPr>
                <w:rFonts w:asciiTheme="majorBidi" w:hAnsiTheme="majorBidi" w:cstheme="majorBidi"/>
                <w:color w:val="000000" w:themeColor="text1"/>
              </w:rPr>
              <w:t>both of these</w:t>
            </w:r>
            <w:proofErr w:type="gramEnd"/>
            <w:r w:rsidR="00A06A65" w:rsidRPr="00F604B9">
              <w:rPr>
                <w:rFonts w:asciiTheme="majorBidi" w:hAnsiTheme="majorBidi" w:cstheme="majorBidi"/>
                <w:color w:val="000000" w:themeColor="text1"/>
              </w:rPr>
              <w:t xml:space="preserve"> exercised </w:t>
            </w:r>
            <w:r w:rsidR="003E0980" w:rsidRPr="00F604B9">
              <w:rPr>
                <w:rFonts w:asciiTheme="majorBidi" w:hAnsiTheme="majorBidi" w:cstheme="majorBidi"/>
                <w:color w:val="000000" w:themeColor="text1"/>
              </w:rPr>
              <w:t xml:space="preserve">show yield similar patterns – and </w:t>
            </w:r>
            <w:r w:rsidR="00A06A65" w:rsidRPr="00F604B9">
              <w:rPr>
                <w:rFonts w:asciiTheme="majorBidi" w:hAnsiTheme="majorBidi" w:cstheme="majorBidi"/>
                <w:color w:val="000000" w:themeColor="text1"/>
              </w:rPr>
              <w:t xml:space="preserve">have reassured us that the observed patterns are </w:t>
            </w:r>
            <w:r w:rsidR="003E0980" w:rsidRPr="00F604B9">
              <w:rPr>
                <w:rFonts w:asciiTheme="majorBidi" w:hAnsiTheme="majorBidi" w:cstheme="majorBidi"/>
                <w:color w:val="000000" w:themeColor="text1"/>
              </w:rPr>
              <w:t>quite robust.</w:t>
            </w:r>
            <w:r w:rsidR="006D4214" w:rsidRPr="00F604B9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669" w:type="dxa"/>
          </w:tcPr>
          <w:p w14:paraId="758FE51F" w14:textId="52C66ABB" w:rsidR="003F5C44" w:rsidRPr="00F604B9" w:rsidRDefault="003F5C44" w:rsidP="008F3F30">
            <w:pPr>
              <w:spacing w:before="120" w:after="120"/>
              <w:rPr>
                <w:rFonts w:asciiTheme="majorBidi" w:hAnsiTheme="majorBidi" w:cstheme="majorBidi"/>
                <w:color w:val="000000" w:themeColor="text1"/>
                <w:highlight w:val="yellow"/>
              </w:rPr>
            </w:pPr>
          </w:p>
        </w:tc>
      </w:tr>
    </w:tbl>
    <w:p w14:paraId="3F51B66B" w14:textId="0476E67A" w:rsidR="00D97517" w:rsidRPr="00FA7BD8" w:rsidRDefault="00D97517" w:rsidP="00A86966">
      <w:pPr>
        <w:spacing w:after="120"/>
        <w:rPr>
          <w:sz w:val="22"/>
          <w:szCs w:val="22"/>
        </w:rPr>
      </w:pPr>
    </w:p>
    <w:sectPr w:rsidR="00D97517" w:rsidRPr="00FA7BD8" w:rsidSect="00D97517">
      <w:pgSz w:w="16840" w:h="11904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7B1E"/>
    <w:multiLevelType w:val="hybridMultilevel"/>
    <w:tmpl w:val="35F0A886"/>
    <w:lvl w:ilvl="0" w:tplc="B6AEE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106"/>
    <w:multiLevelType w:val="multilevel"/>
    <w:tmpl w:val="C19E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2F31A6"/>
    <w:multiLevelType w:val="multilevel"/>
    <w:tmpl w:val="562C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C1C12"/>
    <w:multiLevelType w:val="hybridMultilevel"/>
    <w:tmpl w:val="4C560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617FF"/>
    <w:multiLevelType w:val="hybridMultilevel"/>
    <w:tmpl w:val="84DC4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B0F57"/>
    <w:multiLevelType w:val="hybridMultilevel"/>
    <w:tmpl w:val="54B404C4"/>
    <w:lvl w:ilvl="0" w:tplc="B6789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B2CA3"/>
    <w:multiLevelType w:val="hybridMultilevel"/>
    <w:tmpl w:val="4DD0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62"/>
    <w:rsid w:val="00007924"/>
    <w:rsid w:val="00021760"/>
    <w:rsid w:val="00021A11"/>
    <w:rsid w:val="000245DE"/>
    <w:rsid w:val="0003063A"/>
    <w:rsid w:val="00032B9E"/>
    <w:rsid w:val="000402C5"/>
    <w:rsid w:val="00042F19"/>
    <w:rsid w:val="0004450E"/>
    <w:rsid w:val="00044951"/>
    <w:rsid w:val="00053114"/>
    <w:rsid w:val="00056CCD"/>
    <w:rsid w:val="0007083A"/>
    <w:rsid w:val="000761C2"/>
    <w:rsid w:val="000829D9"/>
    <w:rsid w:val="00094DDB"/>
    <w:rsid w:val="00096889"/>
    <w:rsid w:val="00097AE4"/>
    <w:rsid w:val="000A0689"/>
    <w:rsid w:val="000A205E"/>
    <w:rsid w:val="000A6097"/>
    <w:rsid w:val="000A7930"/>
    <w:rsid w:val="000B0FB3"/>
    <w:rsid w:val="000B150B"/>
    <w:rsid w:val="000B435B"/>
    <w:rsid w:val="000C2E7E"/>
    <w:rsid w:val="000C31D3"/>
    <w:rsid w:val="000C59C7"/>
    <w:rsid w:val="000C6779"/>
    <w:rsid w:val="000D049F"/>
    <w:rsid w:val="000D051E"/>
    <w:rsid w:val="000E563C"/>
    <w:rsid w:val="000E682D"/>
    <w:rsid w:val="000E7160"/>
    <w:rsid w:val="000F0467"/>
    <w:rsid w:val="000F5E13"/>
    <w:rsid w:val="000F6C31"/>
    <w:rsid w:val="001007F7"/>
    <w:rsid w:val="00101259"/>
    <w:rsid w:val="0010190D"/>
    <w:rsid w:val="00102D7D"/>
    <w:rsid w:val="00103582"/>
    <w:rsid w:val="00103B58"/>
    <w:rsid w:val="00110916"/>
    <w:rsid w:val="00122406"/>
    <w:rsid w:val="00125A6C"/>
    <w:rsid w:val="00125B65"/>
    <w:rsid w:val="00125FAF"/>
    <w:rsid w:val="0013152A"/>
    <w:rsid w:val="0013231E"/>
    <w:rsid w:val="00133843"/>
    <w:rsid w:val="00133AF5"/>
    <w:rsid w:val="001355CC"/>
    <w:rsid w:val="00135645"/>
    <w:rsid w:val="00135F69"/>
    <w:rsid w:val="00146F25"/>
    <w:rsid w:val="00147961"/>
    <w:rsid w:val="001505A1"/>
    <w:rsid w:val="00165795"/>
    <w:rsid w:val="00170800"/>
    <w:rsid w:val="00170E1A"/>
    <w:rsid w:val="00172262"/>
    <w:rsid w:val="00177AA7"/>
    <w:rsid w:val="00184A6B"/>
    <w:rsid w:val="0018555E"/>
    <w:rsid w:val="001A020C"/>
    <w:rsid w:val="001A1162"/>
    <w:rsid w:val="001A32ED"/>
    <w:rsid w:val="001A50CD"/>
    <w:rsid w:val="001A5372"/>
    <w:rsid w:val="001A563A"/>
    <w:rsid w:val="001B0BFE"/>
    <w:rsid w:val="001B15F3"/>
    <w:rsid w:val="001C461F"/>
    <w:rsid w:val="001C7A31"/>
    <w:rsid w:val="001C7ABA"/>
    <w:rsid w:val="001D3D1B"/>
    <w:rsid w:val="001D5885"/>
    <w:rsid w:val="001D7E4A"/>
    <w:rsid w:val="001E2162"/>
    <w:rsid w:val="001E2B34"/>
    <w:rsid w:val="001E3F22"/>
    <w:rsid w:val="001E4C78"/>
    <w:rsid w:val="001E775B"/>
    <w:rsid w:val="001F03AF"/>
    <w:rsid w:val="001F1F1D"/>
    <w:rsid w:val="001F5B97"/>
    <w:rsid w:val="001F62D8"/>
    <w:rsid w:val="001F7E8B"/>
    <w:rsid w:val="00206DDE"/>
    <w:rsid w:val="0020762D"/>
    <w:rsid w:val="0021123A"/>
    <w:rsid w:val="00222F44"/>
    <w:rsid w:val="00227028"/>
    <w:rsid w:val="002310B1"/>
    <w:rsid w:val="00232212"/>
    <w:rsid w:val="00234690"/>
    <w:rsid w:val="002353AC"/>
    <w:rsid w:val="00240837"/>
    <w:rsid w:val="0024391B"/>
    <w:rsid w:val="00245470"/>
    <w:rsid w:val="002506BB"/>
    <w:rsid w:val="002507E8"/>
    <w:rsid w:val="00253B2A"/>
    <w:rsid w:val="002545D0"/>
    <w:rsid w:val="0025528E"/>
    <w:rsid w:val="00255DE9"/>
    <w:rsid w:val="002764E3"/>
    <w:rsid w:val="002817DC"/>
    <w:rsid w:val="002824EB"/>
    <w:rsid w:val="00282D7E"/>
    <w:rsid w:val="002910FE"/>
    <w:rsid w:val="002A3024"/>
    <w:rsid w:val="002A425F"/>
    <w:rsid w:val="002A57A2"/>
    <w:rsid w:val="002B0AAB"/>
    <w:rsid w:val="002B2161"/>
    <w:rsid w:val="002B35A1"/>
    <w:rsid w:val="002B777C"/>
    <w:rsid w:val="002C0348"/>
    <w:rsid w:val="002C0995"/>
    <w:rsid w:val="002C25F7"/>
    <w:rsid w:val="002C44F0"/>
    <w:rsid w:val="002C656D"/>
    <w:rsid w:val="002D0337"/>
    <w:rsid w:val="002D1E80"/>
    <w:rsid w:val="002D707D"/>
    <w:rsid w:val="002E2A86"/>
    <w:rsid w:val="002E3FE2"/>
    <w:rsid w:val="002F11AF"/>
    <w:rsid w:val="002F3EFF"/>
    <w:rsid w:val="002F4071"/>
    <w:rsid w:val="00300574"/>
    <w:rsid w:val="00301128"/>
    <w:rsid w:val="00306312"/>
    <w:rsid w:val="00312ABA"/>
    <w:rsid w:val="00314FF3"/>
    <w:rsid w:val="003173C1"/>
    <w:rsid w:val="00323A29"/>
    <w:rsid w:val="00340F02"/>
    <w:rsid w:val="00344137"/>
    <w:rsid w:val="00352D54"/>
    <w:rsid w:val="00362BBA"/>
    <w:rsid w:val="00370031"/>
    <w:rsid w:val="003700B0"/>
    <w:rsid w:val="0037126E"/>
    <w:rsid w:val="00372789"/>
    <w:rsid w:val="00381508"/>
    <w:rsid w:val="00382A29"/>
    <w:rsid w:val="003835DB"/>
    <w:rsid w:val="00391930"/>
    <w:rsid w:val="0039383C"/>
    <w:rsid w:val="00393B88"/>
    <w:rsid w:val="003C6ED5"/>
    <w:rsid w:val="003C73AA"/>
    <w:rsid w:val="003C73D0"/>
    <w:rsid w:val="003D55D3"/>
    <w:rsid w:val="003D7BFD"/>
    <w:rsid w:val="003E003D"/>
    <w:rsid w:val="003E027C"/>
    <w:rsid w:val="003E0980"/>
    <w:rsid w:val="003E3902"/>
    <w:rsid w:val="003F5C44"/>
    <w:rsid w:val="0040055C"/>
    <w:rsid w:val="00405DED"/>
    <w:rsid w:val="00406097"/>
    <w:rsid w:val="00407D34"/>
    <w:rsid w:val="00407F88"/>
    <w:rsid w:val="0041213B"/>
    <w:rsid w:val="00413581"/>
    <w:rsid w:val="0041370A"/>
    <w:rsid w:val="004169C7"/>
    <w:rsid w:val="00416C32"/>
    <w:rsid w:val="00423C45"/>
    <w:rsid w:val="00424C8F"/>
    <w:rsid w:val="00425F3A"/>
    <w:rsid w:val="00430068"/>
    <w:rsid w:val="00435203"/>
    <w:rsid w:val="00437A86"/>
    <w:rsid w:val="004567A0"/>
    <w:rsid w:val="00460557"/>
    <w:rsid w:val="00460EC3"/>
    <w:rsid w:val="004662BF"/>
    <w:rsid w:val="00466EDA"/>
    <w:rsid w:val="00471619"/>
    <w:rsid w:val="00472828"/>
    <w:rsid w:val="00473712"/>
    <w:rsid w:val="0047655B"/>
    <w:rsid w:val="00480C7A"/>
    <w:rsid w:val="004847C8"/>
    <w:rsid w:val="00484989"/>
    <w:rsid w:val="00484D51"/>
    <w:rsid w:val="00485202"/>
    <w:rsid w:val="0049071C"/>
    <w:rsid w:val="00491650"/>
    <w:rsid w:val="004949EA"/>
    <w:rsid w:val="004A038B"/>
    <w:rsid w:val="004A1EEF"/>
    <w:rsid w:val="004A3495"/>
    <w:rsid w:val="004B098C"/>
    <w:rsid w:val="004B5FC5"/>
    <w:rsid w:val="004C043D"/>
    <w:rsid w:val="004C2897"/>
    <w:rsid w:val="004C484A"/>
    <w:rsid w:val="004D6747"/>
    <w:rsid w:val="004D701C"/>
    <w:rsid w:val="004E18B0"/>
    <w:rsid w:val="004E376D"/>
    <w:rsid w:val="004E6C1B"/>
    <w:rsid w:val="004E6F1B"/>
    <w:rsid w:val="004E7B7F"/>
    <w:rsid w:val="004F545B"/>
    <w:rsid w:val="00502FDD"/>
    <w:rsid w:val="00511C9A"/>
    <w:rsid w:val="005151A6"/>
    <w:rsid w:val="0051554A"/>
    <w:rsid w:val="00520F8C"/>
    <w:rsid w:val="00522D4E"/>
    <w:rsid w:val="005245CF"/>
    <w:rsid w:val="00524913"/>
    <w:rsid w:val="00525BFE"/>
    <w:rsid w:val="0053328D"/>
    <w:rsid w:val="00544594"/>
    <w:rsid w:val="00545528"/>
    <w:rsid w:val="00545A02"/>
    <w:rsid w:val="00546F4B"/>
    <w:rsid w:val="005477C1"/>
    <w:rsid w:val="00547CD5"/>
    <w:rsid w:val="005524D8"/>
    <w:rsid w:val="00553C16"/>
    <w:rsid w:val="00553F7E"/>
    <w:rsid w:val="00554D06"/>
    <w:rsid w:val="005577E7"/>
    <w:rsid w:val="00564AA1"/>
    <w:rsid w:val="005720C9"/>
    <w:rsid w:val="005742B2"/>
    <w:rsid w:val="00574589"/>
    <w:rsid w:val="005835A7"/>
    <w:rsid w:val="005859EA"/>
    <w:rsid w:val="00595A31"/>
    <w:rsid w:val="00596CBC"/>
    <w:rsid w:val="005A1364"/>
    <w:rsid w:val="005A1505"/>
    <w:rsid w:val="005A30FA"/>
    <w:rsid w:val="005A43F4"/>
    <w:rsid w:val="005A7556"/>
    <w:rsid w:val="005B1489"/>
    <w:rsid w:val="005B2D42"/>
    <w:rsid w:val="005C142E"/>
    <w:rsid w:val="005C7CF8"/>
    <w:rsid w:val="005C7F51"/>
    <w:rsid w:val="005D59F6"/>
    <w:rsid w:val="005E0614"/>
    <w:rsid w:val="005E08C3"/>
    <w:rsid w:val="005E2C5F"/>
    <w:rsid w:val="005E3932"/>
    <w:rsid w:val="005E5A15"/>
    <w:rsid w:val="005F076E"/>
    <w:rsid w:val="005F1F24"/>
    <w:rsid w:val="005F40E2"/>
    <w:rsid w:val="005F714C"/>
    <w:rsid w:val="0060066A"/>
    <w:rsid w:val="00601685"/>
    <w:rsid w:val="00604B80"/>
    <w:rsid w:val="00613D2E"/>
    <w:rsid w:val="00613FE7"/>
    <w:rsid w:val="0061780E"/>
    <w:rsid w:val="00617FF8"/>
    <w:rsid w:val="00640EF2"/>
    <w:rsid w:val="006469F2"/>
    <w:rsid w:val="006520CA"/>
    <w:rsid w:val="006565F0"/>
    <w:rsid w:val="00661117"/>
    <w:rsid w:val="00664648"/>
    <w:rsid w:val="00667716"/>
    <w:rsid w:val="006740E0"/>
    <w:rsid w:val="00676E99"/>
    <w:rsid w:val="006779FD"/>
    <w:rsid w:val="00681E50"/>
    <w:rsid w:val="006827DB"/>
    <w:rsid w:val="006847EA"/>
    <w:rsid w:val="00690709"/>
    <w:rsid w:val="00691AE9"/>
    <w:rsid w:val="006920FD"/>
    <w:rsid w:val="00695B15"/>
    <w:rsid w:val="006A0CC0"/>
    <w:rsid w:val="006A309F"/>
    <w:rsid w:val="006A44B5"/>
    <w:rsid w:val="006A53E8"/>
    <w:rsid w:val="006B72DB"/>
    <w:rsid w:val="006C050B"/>
    <w:rsid w:val="006C17AF"/>
    <w:rsid w:val="006C2E71"/>
    <w:rsid w:val="006C410D"/>
    <w:rsid w:val="006C6796"/>
    <w:rsid w:val="006C6F6A"/>
    <w:rsid w:val="006C7BCD"/>
    <w:rsid w:val="006D0D00"/>
    <w:rsid w:val="006D2F25"/>
    <w:rsid w:val="006D4214"/>
    <w:rsid w:val="006E089D"/>
    <w:rsid w:val="006E2A4E"/>
    <w:rsid w:val="006E3C0F"/>
    <w:rsid w:val="006E49BC"/>
    <w:rsid w:val="006E68A0"/>
    <w:rsid w:val="00704D85"/>
    <w:rsid w:val="00705539"/>
    <w:rsid w:val="00711FB2"/>
    <w:rsid w:val="00713D05"/>
    <w:rsid w:val="00720658"/>
    <w:rsid w:val="00721533"/>
    <w:rsid w:val="007237B3"/>
    <w:rsid w:val="00723B8A"/>
    <w:rsid w:val="00725EA9"/>
    <w:rsid w:val="0073188F"/>
    <w:rsid w:val="0073202F"/>
    <w:rsid w:val="0074205A"/>
    <w:rsid w:val="0074368F"/>
    <w:rsid w:val="00751AAB"/>
    <w:rsid w:val="00753498"/>
    <w:rsid w:val="007567B6"/>
    <w:rsid w:val="00765B47"/>
    <w:rsid w:val="00765D15"/>
    <w:rsid w:val="0077083E"/>
    <w:rsid w:val="00771737"/>
    <w:rsid w:val="0078525F"/>
    <w:rsid w:val="0078730D"/>
    <w:rsid w:val="00790113"/>
    <w:rsid w:val="007902D1"/>
    <w:rsid w:val="00790C2A"/>
    <w:rsid w:val="007934F9"/>
    <w:rsid w:val="0079364D"/>
    <w:rsid w:val="007967F0"/>
    <w:rsid w:val="007A0708"/>
    <w:rsid w:val="007A10E2"/>
    <w:rsid w:val="007A4A11"/>
    <w:rsid w:val="007B28F2"/>
    <w:rsid w:val="007D1775"/>
    <w:rsid w:val="007D1FF4"/>
    <w:rsid w:val="007E2D81"/>
    <w:rsid w:val="007E31D5"/>
    <w:rsid w:val="007E7813"/>
    <w:rsid w:val="007F0B06"/>
    <w:rsid w:val="007F1831"/>
    <w:rsid w:val="007F386E"/>
    <w:rsid w:val="007F72E3"/>
    <w:rsid w:val="00815CCB"/>
    <w:rsid w:val="0082086D"/>
    <w:rsid w:val="008208F0"/>
    <w:rsid w:val="008218F4"/>
    <w:rsid w:val="00821C6C"/>
    <w:rsid w:val="0082317B"/>
    <w:rsid w:val="00824B03"/>
    <w:rsid w:val="008356CA"/>
    <w:rsid w:val="00840C22"/>
    <w:rsid w:val="00843C0F"/>
    <w:rsid w:val="00846372"/>
    <w:rsid w:val="00853AE7"/>
    <w:rsid w:val="00862A41"/>
    <w:rsid w:val="0087035A"/>
    <w:rsid w:val="00872DE6"/>
    <w:rsid w:val="00873C36"/>
    <w:rsid w:val="00873F14"/>
    <w:rsid w:val="00874919"/>
    <w:rsid w:val="00876243"/>
    <w:rsid w:val="00880224"/>
    <w:rsid w:val="00880F79"/>
    <w:rsid w:val="008833DC"/>
    <w:rsid w:val="00885AD3"/>
    <w:rsid w:val="00887AB9"/>
    <w:rsid w:val="0089320D"/>
    <w:rsid w:val="008935DD"/>
    <w:rsid w:val="0089377D"/>
    <w:rsid w:val="00894929"/>
    <w:rsid w:val="00896674"/>
    <w:rsid w:val="008A039A"/>
    <w:rsid w:val="008A1CA6"/>
    <w:rsid w:val="008B1E4D"/>
    <w:rsid w:val="008B3FC8"/>
    <w:rsid w:val="008D18EE"/>
    <w:rsid w:val="008D3FB3"/>
    <w:rsid w:val="008D52B2"/>
    <w:rsid w:val="008D53EF"/>
    <w:rsid w:val="008E201C"/>
    <w:rsid w:val="008F00E9"/>
    <w:rsid w:val="008F184E"/>
    <w:rsid w:val="008F3F30"/>
    <w:rsid w:val="008F5F3A"/>
    <w:rsid w:val="008F6E84"/>
    <w:rsid w:val="009030D8"/>
    <w:rsid w:val="00903738"/>
    <w:rsid w:val="00904B87"/>
    <w:rsid w:val="00906EAE"/>
    <w:rsid w:val="00921196"/>
    <w:rsid w:val="00925B6D"/>
    <w:rsid w:val="009341C0"/>
    <w:rsid w:val="009344D0"/>
    <w:rsid w:val="00936F2E"/>
    <w:rsid w:val="00940CF1"/>
    <w:rsid w:val="00941099"/>
    <w:rsid w:val="009419B1"/>
    <w:rsid w:val="00941CA2"/>
    <w:rsid w:val="00944C8D"/>
    <w:rsid w:val="009463BB"/>
    <w:rsid w:val="00951BEF"/>
    <w:rsid w:val="0095219B"/>
    <w:rsid w:val="00954C60"/>
    <w:rsid w:val="009554C2"/>
    <w:rsid w:val="00956564"/>
    <w:rsid w:val="009570D0"/>
    <w:rsid w:val="00957E1B"/>
    <w:rsid w:val="00960090"/>
    <w:rsid w:val="00963C42"/>
    <w:rsid w:val="00972E9E"/>
    <w:rsid w:val="00973104"/>
    <w:rsid w:val="00980372"/>
    <w:rsid w:val="00980946"/>
    <w:rsid w:val="009853F0"/>
    <w:rsid w:val="009978E6"/>
    <w:rsid w:val="009A1D5E"/>
    <w:rsid w:val="009A35EC"/>
    <w:rsid w:val="009B18EC"/>
    <w:rsid w:val="009B2960"/>
    <w:rsid w:val="009B2E0A"/>
    <w:rsid w:val="009B2E22"/>
    <w:rsid w:val="009B3811"/>
    <w:rsid w:val="009C1015"/>
    <w:rsid w:val="009C1BDD"/>
    <w:rsid w:val="009C3FC6"/>
    <w:rsid w:val="009C7B8C"/>
    <w:rsid w:val="009D2D53"/>
    <w:rsid w:val="009D782A"/>
    <w:rsid w:val="009E6BED"/>
    <w:rsid w:val="009F52AE"/>
    <w:rsid w:val="009F596D"/>
    <w:rsid w:val="009F664B"/>
    <w:rsid w:val="00A060DF"/>
    <w:rsid w:val="00A06A65"/>
    <w:rsid w:val="00A17D9F"/>
    <w:rsid w:val="00A21498"/>
    <w:rsid w:val="00A24243"/>
    <w:rsid w:val="00A27B45"/>
    <w:rsid w:val="00A302B6"/>
    <w:rsid w:val="00A344DC"/>
    <w:rsid w:val="00A3564B"/>
    <w:rsid w:val="00A35CA3"/>
    <w:rsid w:val="00A4281E"/>
    <w:rsid w:val="00A440EB"/>
    <w:rsid w:val="00A47354"/>
    <w:rsid w:val="00A51830"/>
    <w:rsid w:val="00A51DA2"/>
    <w:rsid w:val="00A814B0"/>
    <w:rsid w:val="00A81690"/>
    <w:rsid w:val="00A86966"/>
    <w:rsid w:val="00A879A8"/>
    <w:rsid w:val="00A9114E"/>
    <w:rsid w:val="00A9279C"/>
    <w:rsid w:val="00A9508B"/>
    <w:rsid w:val="00A9792D"/>
    <w:rsid w:val="00AA2828"/>
    <w:rsid w:val="00AA5455"/>
    <w:rsid w:val="00AB56CD"/>
    <w:rsid w:val="00AB632B"/>
    <w:rsid w:val="00AC3C6B"/>
    <w:rsid w:val="00AC4D8F"/>
    <w:rsid w:val="00AD2CBC"/>
    <w:rsid w:val="00AE04C2"/>
    <w:rsid w:val="00AE347B"/>
    <w:rsid w:val="00AE5911"/>
    <w:rsid w:val="00AF6F66"/>
    <w:rsid w:val="00B0264E"/>
    <w:rsid w:val="00B1097B"/>
    <w:rsid w:val="00B14948"/>
    <w:rsid w:val="00B222D9"/>
    <w:rsid w:val="00B306DE"/>
    <w:rsid w:val="00B31EB8"/>
    <w:rsid w:val="00B33C5B"/>
    <w:rsid w:val="00B40076"/>
    <w:rsid w:val="00B40C67"/>
    <w:rsid w:val="00B414A7"/>
    <w:rsid w:val="00B43043"/>
    <w:rsid w:val="00B45A77"/>
    <w:rsid w:val="00B46C37"/>
    <w:rsid w:val="00B51850"/>
    <w:rsid w:val="00B51EDD"/>
    <w:rsid w:val="00B52BBE"/>
    <w:rsid w:val="00B63675"/>
    <w:rsid w:val="00B646D2"/>
    <w:rsid w:val="00B66401"/>
    <w:rsid w:val="00B66F6A"/>
    <w:rsid w:val="00B724B0"/>
    <w:rsid w:val="00B741C2"/>
    <w:rsid w:val="00B76F9C"/>
    <w:rsid w:val="00B779A1"/>
    <w:rsid w:val="00B802DA"/>
    <w:rsid w:val="00B82673"/>
    <w:rsid w:val="00B84DBF"/>
    <w:rsid w:val="00B855D6"/>
    <w:rsid w:val="00B8640A"/>
    <w:rsid w:val="00B94282"/>
    <w:rsid w:val="00B97AAF"/>
    <w:rsid w:val="00BA019E"/>
    <w:rsid w:val="00BA3507"/>
    <w:rsid w:val="00BA5FD6"/>
    <w:rsid w:val="00BA6891"/>
    <w:rsid w:val="00BA68C9"/>
    <w:rsid w:val="00BA73D7"/>
    <w:rsid w:val="00BB6FA2"/>
    <w:rsid w:val="00BC37D4"/>
    <w:rsid w:val="00BC3AB3"/>
    <w:rsid w:val="00BC6064"/>
    <w:rsid w:val="00BC7713"/>
    <w:rsid w:val="00BD435F"/>
    <w:rsid w:val="00BD5FA7"/>
    <w:rsid w:val="00BE0E06"/>
    <w:rsid w:val="00BE29E2"/>
    <w:rsid w:val="00BE7529"/>
    <w:rsid w:val="00BF2D84"/>
    <w:rsid w:val="00BF481A"/>
    <w:rsid w:val="00BF5DEB"/>
    <w:rsid w:val="00BF6BC6"/>
    <w:rsid w:val="00C03F70"/>
    <w:rsid w:val="00C05F13"/>
    <w:rsid w:val="00C1038F"/>
    <w:rsid w:val="00C20A1F"/>
    <w:rsid w:val="00C23D55"/>
    <w:rsid w:val="00C2522E"/>
    <w:rsid w:val="00C32AFE"/>
    <w:rsid w:val="00C35DA3"/>
    <w:rsid w:val="00C45904"/>
    <w:rsid w:val="00C5165C"/>
    <w:rsid w:val="00C525DA"/>
    <w:rsid w:val="00C551A6"/>
    <w:rsid w:val="00C55CFD"/>
    <w:rsid w:val="00C62AC3"/>
    <w:rsid w:val="00C64866"/>
    <w:rsid w:val="00C71F7E"/>
    <w:rsid w:val="00C72165"/>
    <w:rsid w:val="00C72A6C"/>
    <w:rsid w:val="00C81C5F"/>
    <w:rsid w:val="00C8548B"/>
    <w:rsid w:val="00CA02BF"/>
    <w:rsid w:val="00CA238F"/>
    <w:rsid w:val="00CC305A"/>
    <w:rsid w:val="00CC700C"/>
    <w:rsid w:val="00CC78FB"/>
    <w:rsid w:val="00CD164E"/>
    <w:rsid w:val="00CD423F"/>
    <w:rsid w:val="00CE1D0E"/>
    <w:rsid w:val="00CF350A"/>
    <w:rsid w:val="00CF4802"/>
    <w:rsid w:val="00CF75BB"/>
    <w:rsid w:val="00D110A4"/>
    <w:rsid w:val="00D1190F"/>
    <w:rsid w:val="00D11975"/>
    <w:rsid w:val="00D15035"/>
    <w:rsid w:val="00D17D75"/>
    <w:rsid w:val="00D20C8D"/>
    <w:rsid w:val="00D27848"/>
    <w:rsid w:val="00D3023A"/>
    <w:rsid w:val="00D30DA2"/>
    <w:rsid w:val="00D34D2B"/>
    <w:rsid w:val="00D35A17"/>
    <w:rsid w:val="00D535A6"/>
    <w:rsid w:val="00D619A9"/>
    <w:rsid w:val="00D70A1B"/>
    <w:rsid w:val="00D70AFC"/>
    <w:rsid w:val="00D740EA"/>
    <w:rsid w:val="00D85C37"/>
    <w:rsid w:val="00D8747D"/>
    <w:rsid w:val="00D87579"/>
    <w:rsid w:val="00D941B6"/>
    <w:rsid w:val="00D97517"/>
    <w:rsid w:val="00DA4122"/>
    <w:rsid w:val="00DA48C4"/>
    <w:rsid w:val="00DA70F7"/>
    <w:rsid w:val="00DA7A5A"/>
    <w:rsid w:val="00DB1271"/>
    <w:rsid w:val="00DB334B"/>
    <w:rsid w:val="00DC1E2C"/>
    <w:rsid w:val="00DC3368"/>
    <w:rsid w:val="00DC716B"/>
    <w:rsid w:val="00DC72C8"/>
    <w:rsid w:val="00DC7ABB"/>
    <w:rsid w:val="00DD1B13"/>
    <w:rsid w:val="00DD76ED"/>
    <w:rsid w:val="00DE6EDD"/>
    <w:rsid w:val="00DF19EA"/>
    <w:rsid w:val="00DF37F9"/>
    <w:rsid w:val="00DF3839"/>
    <w:rsid w:val="00DF4912"/>
    <w:rsid w:val="00DF4F58"/>
    <w:rsid w:val="00DF55B9"/>
    <w:rsid w:val="00DF5BEE"/>
    <w:rsid w:val="00E053E2"/>
    <w:rsid w:val="00E06E0B"/>
    <w:rsid w:val="00E14EBD"/>
    <w:rsid w:val="00E261CB"/>
    <w:rsid w:val="00E26EA5"/>
    <w:rsid w:val="00E301D9"/>
    <w:rsid w:val="00E31570"/>
    <w:rsid w:val="00E33C9B"/>
    <w:rsid w:val="00E34890"/>
    <w:rsid w:val="00E41E21"/>
    <w:rsid w:val="00E43B11"/>
    <w:rsid w:val="00E443AA"/>
    <w:rsid w:val="00E45CFE"/>
    <w:rsid w:val="00E52A6F"/>
    <w:rsid w:val="00E533DD"/>
    <w:rsid w:val="00E5361A"/>
    <w:rsid w:val="00E60766"/>
    <w:rsid w:val="00E652E0"/>
    <w:rsid w:val="00E70247"/>
    <w:rsid w:val="00E7298E"/>
    <w:rsid w:val="00E74E19"/>
    <w:rsid w:val="00E77460"/>
    <w:rsid w:val="00E80396"/>
    <w:rsid w:val="00E803CA"/>
    <w:rsid w:val="00E821FE"/>
    <w:rsid w:val="00E84850"/>
    <w:rsid w:val="00E97EFC"/>
    <w:rsid w:val="00EA17C0"/>
    <w:rsid w:val="00EA47D2"/>
    <w:rsid w:val="00EA51C1"/>
    <w:rsid w:val="00EB1FF2"/>
    <w:rsid w:val="00EB62CF"/>
    <w:rsid w:val="00EB7C78"/>
    <w:rsid w:val="00EB7D97"/>
    <w:rsid w:val="00EC1338"/>
    <w:rsid w:val="00EC2361"/>
    <w:rsid w:val="00ED2DCD"/>
    <w:rsid w:val="00ED78FA"/>
    <w:rsid w:val="00EE0289"/>
    <w:rsid w:val="00EF039F"/>
    <w:rsid w:val="00EF2891"/>
    <w:rsid w:val="00EF554C"/>
    <w:rsid w:val="00EF7DDE"/>
    <w:rsid w:val="00F01526"/>
    <w:rsid w:val="00F01911"/>
    <w:rsid w:val="00F030F4"/>
    <w:rsid w:val="00F051FC"/>
    <w:rsid w:val="00F061C8"/>
    <w:rsid w:val="00F07EE0"/>
    <w:rsid w:val="00F1093B"/>
    <w:rsid w:val="00F11B5C"/>
    <w:rsid w:val="00F13879"/>
    <w:rsid w:val="00F25AC0"/>
    <w:rsid w:val="00F32A1D"/>
    <w:rsid w:val="00F36FC6"/>
    <w:rsid w:val="00F43B03"/>
    <w:rsid w:val="00F4498B"/>
    <w:rsid w:val="00F46446"/>
    <w:rsid w:val="00F50EE2"/>
    <w:rsid w:val="00F55E5C"/>
    <w:rsid w:val="00F57255"/>
    <w:rsid w:val="00F604B9"/>
    <w:rsid w:val="00F6120B"/>
    <w:rsid w:val="00F65258"/>
    <w:rsid w:val="00F66CCF"/>
    <w:rsid w:val="00F66E9F"/>
    <w:rsid w:val="00F7205D"/>
    <w:rsid w:val="00F73B1A"/>
    <w:rsid w:val="00F768B0"/>
    <w:rsid w:val="00F822FC"/>
    <w:rsid w:val="00F83F8D"/>
    <w:rsid w:val="00F93A4B"/>
    <w:rsid w:val="00FA1320"/>
    <w:rsid w:val="00FA6B5D"/>
    <w:rsid w:val="00FA7BD8"/>
    <w:rsid w:val="00FC08C2"/>
    <w:rsid w:val="00FC1B46"/>
    <w:rsid w:val="00FC3CF3"/>
    <w:rsid w:val="00FD5875"/>
    <w:rsid w:val="00FD6F0E"/>
    <w:rsid w:val="00FE4264"/>
    <w:rsid w:val="00FE6C93"/>
    <w:rsid w:val="00FF0534"/>
    <w:rsid w:val="00FF21B9"/>
    <w:rsid w:val="00FF31C3"/>
    <w:rsid w:val="00FF40B3"/>
    <w:rsid w:val="00FF4F6B"/>
    <w:rsid w:val="00FF69CE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6C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96D"/>
    <w:rPr>
      <w:rFonts w:ascii="Times New Roman" w:hAnsi="Times New Roman"/>
      <w:sz w:val="24"/>
      <w:szCs w:val="24"/>
      <w:lang w:val="en-GB" w:eastAsia="en-GB"/>
    </w:rPr>
  </w:style>
  <w:style w:type="paragraph" w:styleId="Rubrik1">
    <w:name w:val="heading 1"/>
    <w:basedOn w:val="Rubrik"/>
    <w:next w:val="Normal"/>
    <w:link w:val="Rubrik1Char"/>
    <w:uiPriority w:val="9"/>
    <w:qFormat/>
    <w:rsid w:val="0061780E"/>
    <w:pPr>
      <w:outlineLvl w:val="0"/>
    </w:pPr>
    <w:rPr>
      <w:rFonts w:cs="Times New Roman"/>
      <w:b w:val="0"/>
      <w:color w:val="7A124F"/>
    </w:rPr>
  </w:style>
  <w:style w:type="paragraph" w:styleId="Rubrik2">
    <w:name w:val="heading 2"/>
    <w:basedOn w:val="Rubrik"/>
    <w:next w:val="Normal"/>
    <w:link w:val="Rubrik2Char"/>
    <w:uiPriority w:val="9"/>
    <w:qFormat/>
    <w:rsid w:val="0061780E"/>
    <w:pPr>
      <w:tabs>
        <w:tab w:val="clear" w:pos="720"/>
        <w:tab w:val="left" w:pos="1276"/>
      </w:tabs>
      <w:ind w:left="0" w:firstLine="0"/>
      <w:outlineLvl w:val="1"/>
    </w:pPr>
    <w:rPr>
      <w:rFonts w:cs="Times New Roman"/>
      <w:b w:val="0"/>
      <w:color w:val="9B1A65"/>
      <w:sz w:val="28"/>
      <w:szCs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61780E"/>
    <w:pPr>
      <w:numPr>
        <w:ilvl w:val="2"/>
      </w:numPr>
      <w:ind w:left="851" w:hanging="851"/>
      <w:outlineLvl w:val="2"/>
    </w:pPr>
    <w:rPr>
      <w:b/>
      <w:color w:val="6A001E"/>
      <w:sz w:val="22"/>
      <w:szCs w:val="28"/>
    </w:rPr>
  </w:style>
  <w:style w:type="paragraph" w:styleId="Rubrik4">
    <w:name w:val="heading 4"/>
    <w:basedOn w:val="Rubrik2"/>
    <w:next w:val="Normal"/>
    <w:link w:val="Rubrik4Char"/>
    <w:uiPriority w:val="9"/>
    <w:unhideWhenUsed/>
    <w:qFormat/>
    <w:rsid w:val="0061780E"/>
    <w:pPr>
      <w:numPr>
        <w:ilvl w:val="3"/>
      </w:numPr>
      <w:ind w:left="1276" w:hanging="850"/>
      <w:outlineLvl w:val="3"/>
    </w:pPr>
    <w:rPr>
      <w:color w:val="6A001E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61780E"/>
    <w:rPr>
      <w:rFonts w:ascii="Garamond" w:hAnsi="Garamond"/>
      <w:b/>
      <w:color w:val="7A124F"/>
      <w:sz w:val="40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1780E"/>
    <w:pPr>
      <w:tabs>
        <w:tab w:val="num" w:pos="720"/>
      </w:tabs>
      <w:spacing w:before="360" w:after="240" w:line="276" w:lineRule="auto"/>
      <w:ind w:left="360" w:hanging="360"/>
      <w:jc w:val="both"/>
    </w:pPr>
    <w:rPr>
      <w:rFonts w:ascii="Garamond" w:hAnsi="Garamond" w:cstheme="majorBidi"/>
      <w:b/>
      <w:color w:val="6A001E"/>
      <w:sz w:val="40"/>
      <w:lang w:val="en-US" w:eastAsia="en-US"/>
    </w:rPr>
  </w:style>
  <w:style w:type="character" w:customStyle="1" w:styleId="RubrikChar">
    <w:name w:val="Rubrik Char"/>
    <w:link w:val="Rubrik"/>
    <w:uiPriority w:val="10"/>
    <w:rsid w:val="0061780E"/>
    <w:rPr>
      <w:rFonts w:ascii="Garamond" w:hAnsi="Garamond" w:cstheme="majorBidi"/>
      <w:b/>
      <w:color w:val="6A001E"/>
      <w:sz w:val="40"/>
      <w:szCs w:val="24"/>
    </w:rPr>
  </w:style>
  <w:style w:type="character" w:customStyle="1" w:styleId="Rubrik2Char">
    <w:name w:val="Rubrik 2 Char"/>
    <w:link w:val="Rubrik2"/>
    <w:uiPriority w:val="9"/>
    <w:rsid w:val="0061780E"/>
    <w:rPr>
      <w:rFonts w:ascii="Garamond" w:hAnsi="Garamond"/>
      <w:b/>
      <w:color w:val="9B1A65"/>
      <w:sz w:val="28"/>
      <w:szCs w:val="32"/>
    </w:rPr>
  </w:style>
  <w:style w:type="character" w:customStyle="1" w:styleId="Rubrik3Char">
    <w:name w:val="Rubrik 3 Char"/>
    <w:link w:val="Rubrik3"/>
    <w:uiPriority w:val="9"/>
    <w:rsid w:val="0061780E"/>
    <w:rPr>
      <w:rFonts w:ascii="Garamond" w:hAnsi="Garamond"/>
      <w:color w:val="6A001E"/>
      <w:sz w:val="22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1780E"/>
    <w:rPr>
      <w:rFonts w:ascii="Garamond" w:hAnsi="Garamond"/>
      <w:b/>
      <w:color w:val="6A001E"/>
      <w:sz w:val="24"/>
      <w:szCs w:val="32"/>
    </w:rPr>
  </w:style>
  <w:style w:type="paragraph" w:styleId="Liststycke">
    <w:name w:val="List Paragraph"/>
    <w:basedOn w:val="Normal"/>
    <w:uiPriority w:val="34"/>
    <w:qFormat/>
    <w:rsid w:val="0061780E"/>
    <w:pPr>
      <w:spacing w:before="120" w:after="240" w:line="276" w:lineRule="auto"/>
      <w:ind w:left="720"/>
      <w:contextualSpacing/>
      <w:jc w:val="both"/>
    </w:pPr>
    <w:rPr>
      <w:rFonts w:ascii="Garamond" w:hAnsi="Garamond"/>
      <w:sz w:val="22"/>
      <w:lang w:val="en-US" w:eastAsia="en-US"/>
    </w:rPr>
  </w:style>
  <w:style w:type="character" w:styleId="Diskretreferens">
    <w:name w:val="Subtle Reference"/>
    <w:uiPriority w:val="31"/>
    <w:qFormat/>
    <w:rsid w:val="0061780E"/>
    <w:rPr>
      <w:smallCaps/>
    </w:rPr>
  </w:style>
  <w:style w:type="paragraph" w:styleId="Innehllsfrteckningsrubrik">
    <w:name w:val="TOC Heading"/>
    <w:basedOn w:val="Rubrik"/>
    <w:next w:val="Normal"/>
    <w:uiPriority w:val="39"/>
    <w:unhideWhenUsed/>
    <w:qFormat/>
    <w:rsid w:val="0061780E"/>
    <w:pPr>
      <w:tabs>
        <w:tab w:val="clear" w:pos="720"/>
      </w:tabs>
      <w:ind w:left="0" w:firstLine="0"/>
    </w:pPr>
    <w:rPr>
      <w:rFonts w:cs="Times New Roman"/>
      <w:lang w:val="en-GB"/>
    </w:rPr>
  </w:style>
  <w:style w:type="table" w:styleId="Tabellrutnt">
    <w:name w:val="Table Grid"/>
    <w:basedOn w:val="Normaltabell"/>
    <w:uiPriority w:val="39"/>
    <w:rsid w:val="00D9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9508B"/>
    <w:rPr>
      <w:color w:val="FF1EA7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3C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C3C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C3CF3"/>
    <w:rPr>
      <w:rFonts w:ascii="Times New Roman" w:hAnsi="Times New Roman"/>
      <w:lang w:val="en-GB" w:eastAsia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3C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3CF3"/>
    <w:rPr>
      <w:rFonts w:ascii="Times New Roman" w:hAnsi="Times New Roman"/>
      <w:b/>
      <w:bCs/>
      <w:lang w:val="en-GB"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C3C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3CF3"/>
    <w:rPr>
      <w:rFonts w:ascii="Segoe UI" w:hAnsi="Segoe UI" w:cs="Segoe UI"/>
      <w:sz w:val="18"/>
      <w:szCs w:val="18"/>
      <w:lang w:val="en-GB" w:eastAsia="en-GB"/>
    </w:rPr>
  </w:style>
  <w:style w:type="paragraph" w:styleId="Normalwebb">
    <w:name w:val="Normal (Web)"/>
    <w:basedOn w:val="Normal"/>
    <w:uiPriority w:val="99"/>
    <w:unhideWhenUsed/>
    <w:rsid w:val="00D619A9"/>
    <w:pPr>
      <w:spacing w:before="100" w:beforeAutospacing="1" w:after="100" w:afterAutospacing="1"/>
    </w:pPr>
    <w:rPr>
      <w:rFonts w:eastAsia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D619A9"/>
    <w:rPr>
      <w:color w:val="FF1EA7" w:themeColor="followedHyperlink"/>
      <w:u w:val="single"/>
    </w:rPr>
  </w:style>
  <w:style w:type="character" w:customStyle="1" w:styleId="NichtaufgelsteErwhnung1">
    <w:name w:val="Nicht aufgelöste Erwähnung1"/>
    <w:basedOn w:val="Standardstycketeckensnitt"/>
    <w:uiPriority w:val="99"/>
    <w:rsid w:val="006C17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1498"/>
    <w:rPr>
      <w:rFonts w:ascii="Times New Roman" w:hAnsi="Times New Roman"/>
      <w:sz w:val="24"/>
      <w:szCs w:val="24"/>
      <w:lang w:val="en-GB" w:eastAsia="en-GB"/>
    </w:rPr>
  </w:style>
  <w:style w:type="character" w:styleId="Betoning">
    <w:name w:val="Emphasis"/>
    <w:basedOn w:val="Standardstycketeckensnitt"/>
    <w:uiPriority w:val="20"/>
    <w:qFormat/>
    <w:rsid w:val="00574589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6A53E8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A53E8"/>
    <w:rPr>
      <w:rFonts w:ascii="Calibri" w:hAnsi="Calibri" w:cstheme="minorBid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rolinska">
      <a:dk1>
        <a:sysClr val="windowText" lastClr="000000"/>
      </a:dk1>
      <a:lt1>
        <a:sysClr val="window" lastClr="FFFFFF"/>
      </a:lt1>
      <a:dk2>
        <a:srgbClr val="C3AAB3"/>
      </a:dk2>
      <a:lt2>
        <a:srgbClr val="FDDDE9"/>
      </a:lt2>
      <a:accent1>
        <a:srgbClr val="870052"/>
      </a:accent1>
      <a:accent2>
        <a:srgbClr val="65003E"/>
      </a:accent2>
      <a:accent3>
        <a:srgbClr val="259A9F"/>
      </a:accent3>
      <a:accent4>
        <a:srgbClr val="327C7F"/>
      </a:accent4>
      <a:accent5>
        <a:srgbClr val="C3AAB3"/>
      </a:accent5>
      <a:accent6>
        <a:srgbClr val="9D7583"/>
      </a:accent6>
      <a:hlink>
        <a:srgbClr val="FF1EA7"/>
      </a:hlink>
      <a:folHlink>
        <a:srgbClr val="FF1EA7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6179B6AF4644B8783092A3195A3E0" ma:contentTypeVersion="10" ma:contentTypeDescription="Skapa ett nytt dokument." ma:contentTypeScope="" ma:versionID="b697fa7628bc948e4e808fbb351b4155">
  <xsd:schema xmlns:xsd="http://www.w3.org/2001/XMLSchema" xmlns:xs="http://www.w3.org/2001/XMLSchema" xmlns:p="http://schemas.microsoft.com/office/2006/metadata/properties" xmlns:ns3="4afdece2-12fb-45aa-b2a6-410547ae9b47" targetNamespace="http://schemas.microsoft.com/office/2006/metadata/properties" ma:root="true" ma:fieldsID="ed578b6ba1d5b0163d9bee6aa9138a02" ns3:_="">
    <xsd:import namespace="4afdece2-12fb-45aa-b2a6-410547ae9b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ece2-12fb-45aa-b2a6-410547ae9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C9FE2-1E29-4EB3-9B6C-0D5FD6D77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5A476-21D9-4A75-BDA0-66B9C51CF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05D04-1435-4F4F-8CF3-7AF5F67A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dece2-12fb-45aa-b2a6-410547ae9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Karolinska Institutet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Morin</dc:creator>
  <cp:keywords/>
  <dc:description/>
  <cp:lastModifiedBy>Stefan Fors</cp:lastModifiedBy>
  <cp:revision>110</cp:revision>
  <cp:lastPrinted>2020-09-09T18:13:00Z</cp:lastPrinted>
  <dcterms:created xsi:type="dcterms:W3CDTF">2021-11-09T12:11:00Z</dcterms:created>
  <dcterms:modified xsi:type="dcterms:W3CDTF">2021-11-22T13:46:00Z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0x010100F346179B6AF4644B8783092A3195A3E0</vt:lpwstr>
  </property>
</Properties>
</file>