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521BB725"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xml:space="preserve">, </w:t>
      </w:r>
      <w:proofErr w:type="spellStart"/>
      <w:r>
        <w:t>Eszter</w:t>
      </w:r>
      <w:proofErr w:type="spellEnd"/>
      <w:r>
        <w:t xml:space="preserve"> Zólyomi</w:t>
      </w:r>
      <w:r>
        <w:rPr>
          <w:vertAlign w:val="superscript"/>
        </w:rPr>
        <w:t>1</w:t>
      </w:r>
      <w:r>
        <w:t xml:space="preserve">, </w:t>
      </w:r>
      <w:r w:rsidR="0096766B">
        <w:t>Afshin Vafaei</w:t>
      </w:r>
      <w:r w:rsidR="003B039D">
        <w:rPr>
          <w:vertAlign w:val="superscript"/>
        </w:rPr>
        <w:t>4</w:t>
      </w:r>
      <w:r w:rsidR="0096766B">
        <w:rPr>
          <w:vertAlign w:val="superscript"/>
        </w:rPr>
        <w:t>,</w:t>
      </w:r>
      <w:r w:rsidR="003B039D">
        <w:rPr>
          <w:vertAlign w:val="superscript"/>
        </w:rPr>
        <w:t>5</w:t>
      </w:r>
      <w:r w:rsidR="0096766B">
        <w:t xml:space="preserve">, </w:t>
      </w:r>
      <w:r w:rsidRPr="0096766B">
        <w:t>Selma</w:t>
      </w:r>
      <w:r>
        <w:t xml:space="preserve"> Kadi</w:t>
      </w:r>
      <w:r>
        <w:rPr>
          <w:vertAlign w:val="superscript"/>
        </w:rPr>
        <w:t>1</w:t>
      </w:r>
      <w:r>
        <w:t>, Janet Jull</w:t>
      </w:r>
      <w:r w:rsidR="003B039D">
        <w:rPr>
          <w:vertAlign w:val="superscript"/>
        </w:rPr>
        <w:t>6</w:t>
      </w:r>
      <w:proofErr w:type="gramStart"/>
      <w:r>
        <w:t>, ,</w:t>
      </w:r>
      <w:proofErr w:type="gramEnd"/>
      <w:r>
        <w:t xml:space="preserve"> Susan </w:t>
      </w:r>
      <w:r w:rsidR="003B039D">
        <w:t>Phillips</w:t>
      </w:r>
      <w:r w:rsidR="003B039D">
        <w:rPr>
          <w:vertAlign w:val="superscript"/>
        </w:rPr>
        <w:t>4</w:t>
      </w:r>
      <w:r>
        <w:rPr>
          <w:vertAlign w:val="superscript"/>
        </w:rPr>
        <w:t>,</w:t>
      </w:r>
      <w:r w:rsidR="003B039D">
        <w:rPr>
          <w:vertAlign w:val="superscript"/>
        </w:rPr>
        <w:t>5</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 xml:space="preserve">rodrigues@euro.centre.org, European Centre for Social Welfare Policy &amp; Research, </w:t>
      </w:r>
      <w:proofErr w:type="spellStart"/>
      <w:r>
        <w:rPr>
          <w:rFonts w:cstheme="minorHAnsi"/>
        </w:rPr>
        <w:t>Berggasse</w:t>
      </w:r>
      <w:proofErr w:type="spellEnd"/>
      <w:r>
        <w:rPr>
          <w:rFonts w:cstheme="minorHAnsi"/>
        </w:rPr>
        <w:t xml:space="preserv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w:t>
      </w:r>
      <w:proofErr w:type="spellStart"/>
      <w:r>
        <w:rPr>
          <w:rFonts w:cstheme="minorHAnsi"/>
        </w:rPr>
        <w:t>Center</w:t>
      </w:r>
      <w:proofErr w:type="spellEnd"/>
      <w:r>
        <w:rPr>
          <w:rFonts w:cstheme="minorHAnsi"/>
        </w:rPr>
        <w:t xml:space="preserve">, Karolinska </w:t>
      </w:r>
      <w:proofErr w:type="spellStart"/>
      <w:r>
        <w:rPr>
          <w:rFonts w:cstheme="minorHAnsi"/>
        </w:rPr>
        <w:t>Institutet</w:t>
      </w:r>
      <w:proofErr w:type="spellEnd"/>
      <w:r>
        <w:rPr>
          <w:rFonts w:cstheme="minorHAnsi"/>
        </w:rPr>
        <w:t xml:space="preserve">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1049E5DC" w14:textId="06FD2A0B" w:rsidR="0073065F" w:rsidRDefault="003B039D" w:rsidP="0073065F">
      <w:pPr>
        <w:spacing w:line="480" w:lineRule="auto"/>
        <w:jc w:val="both"/>
        <w:rPr>
          <w:rFonts w:cstheme="minorHAnsi"/>
        </w:rPr>
      </w:pPr>
      <w:r>
        <w:rPr>
          <w:rFonts w:cstheme="minorHAnsi"/>
          <w:vertAlign w:val="superscript"/>
        </w:rPr>
        <w:t>4</w:t>
      </w:r>
      <w:r>
        <w:rPr>
          <w:rFonts w:cstheme="minorHAnsi"/>
        </w:rPr>
        <w:t xml:space="preserve"> </w:t>
      </w:r>
      <w:r w:rsidR="0073065F">
        <w:rPr>
          <w:rFonts w:cstheme="minorHAnsi"/>
        </w:rPr>
        <w:t>Department of Public Health Sciences, Queen’s University, Kingston, ON, Canada.</w:t>
      </w:r>
    </w:p>
    <w:p w14:paraId="7E03E9CE" w14:textId="4B562280" w:rsidR="0073065F" w:rsidRDefault="003B039D" w:rsidP="0073065F">
      <w:pPr>
        <w:spacing w:line="480" w:lineRule="auto"/>
        <w:jc w:val="both"/>
        <w:rPr>
          <w:rFonts w:cstheme="minorHAnsi"/>
          <w:bCs/>
        </w:rPr>
      </w:pPr>
      <w:r>
        <w:rPr>
          <w:rFonts w:cstheme="minorHAnsi"/>
          <w:vertAlign w:val="superscript"/>
        </w:rPr>
        <w:t>5</w:t>
      </w:r>
      <w:r>
        <w:rPr>
          <w:rFonts w:cstheme="minorHAnsi"/>
        </w:rPr>
        <w:t xml:space="preserve"> </w:t>
      </w:r>
      <w:r w:rsidR="0073065F">
        <w:rPr>
          <w:rFonts w:cstheme="minorHAnsi"/>
          <w:bCs/>
        </w:rPr>
        <w:t>Department of Family Medicine, Queen’s University, Kingston, ON, Canada.</w:t>
      </w:r>
    </w:p>
    <w:p w14:paraId="0ABF26E4" w14:textId="6CF7EDE5" w:rsidR="003B039D" w:rsidRDefault="003B039D" w:rsidP="0073065F">
      <w:pPr>
        <w:spacing w:line="480" w:lineRule="auto"/>
        <w:jc w:val="both"/>
        <w:rPr>
          <w:rFonts w:cstheme="minorHAnsi"/>
          <w:bCs/>
        </w:rPr>
      </w:pPr>
      <w:r>
        <w:rPr>
          <w:rFonts w:cstheme="minorHAnsi"/>
          <w:vertAlign w:val="superscript"/>
        </w:rPr>
        <w:t>6</w:t>
      </w:r>
      <w:r>
        <w:rPr>
          <w:rFonts w:cstheme="minorHAnsi"/>
        </w:rPr>
        <w:t xml:space="preserve"> School of Rehabilitation Therapy, Queen’s University, Kingston,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proofErr w:type="spellStart"/>
      <w:r>
        <w:rPr>
          <w:rFonts w:cstheme="minorHAnsi"/>
          <w:iCs/>
        </w:rPr>
        <w:t>Center</w:t>
      </w:r>
      <w:proofErr w:type="spellEnd"/>
      <w:r>
        <w:rPr>
          <w:rFonts w:cstheme="minorHAnsi"/>
          <w:iCs/>
        </w:rPr>
        <w:t xml:space="preserve"> for Epidemiology and Community Medicine, Region Stockholm, Stockholm, Sweden.</w:t>
      </w:r>
    </w:p>
    <w:p w14:paraId="15DF98D1" w14:textId="4F001E1D" w:rsidR="0073065F" w:rsidRDefault="0073065F" w:rsidP="0007683E">
      <w:pPr>
        <w:spacing w:line="480" w:lineRule="auto"/>
        <w:jc w:val="both"/>
      </w:pPr>
    </w:p>
    <w:p w14:paraId="5290215D" w14:textId="51F7A81B" w:rsidR="00AA24ED" w:rsidRDefault="00AA24ED" w:rsidP="0007683E">
      <w:pPr>
        <w:spacing w:line="480" w:lineRule="auto"/>
        <w:jc w:val="both"/>
      </w:pPr>
      <w:r>
        <w:t xml:space="preserve">Paper prepared for the </w:t>
      </w:r>
      <w:r w:rsidR="00D06AF8">
        <w:t>5</w:t>
      </w:r>
      <w:r w:rsidR="00D06AF8" w:rsidRPr="007D4F6C">
        <w:rPr>
          <w:vertAlign w:val="superscript"/>
        </w:rPr>
        <w:t>th</w:t>
      </w:r>
      <w:r w:rsidR="00D06AF8">
        <w:t xml:space="preserve"> </w:t>
      </w:r>
      <w:r>
        <w:t>Transforming Care Conference</w:t>
      </w:r>
      <w:r w:rsidR="00D06AF8">
        <w:t>, June 2021. Please do not quote without the authors’ permission.</w:t>
      </w:r>
    </w:p>
    <w:p w14:paraId="4B983321" w14:textId="24F8F5AB" w:rsidR="00AA24ED" w:rsidRDefault="00AA24ED" w:rsidP="0007683E">
      <w:pPr>
        <w:spacing w:line="480" w:lineRule="auto"/>
        <w:jc w:val="both"/>
      </w:pPr>
      <w:r w:rsidRPr="00AA24ED">
        <w:t>This research was supported by The Canadian Institutes of Health Research, The Swedish Research Council and the Austrian Science Council as part of a European Gender-Net Plus grant.</w:t>
      </w:r>
    </w:p>
    <w:p w14:paraId="7DF55D23" w14:textId="77777777" w:rsidR="00D06AF8" w:rsidRDefault="00D06AF8" w:rsidP="0007683E">
      <w:pPr>
        <w:spacing w:line="480" w:lineRule="auto"/>
        <w:jc w:val="both"/>
      </w:pPr>
    </w:p>
    <w:p w14:paraId="6FF311A8" w14:textId="0BB8B73F" w:rsidR="0007683E" w:rsidRPr="001923BE" w:rsidRDefault="001923BE" w:rsidP="0007683E">
      <w:pPr>
        <w:spacing w:line="480" w:lineRule="auto"/>
        <w:jc w:val="both"/>
        <w:rPr>
          <w:b/>
        </w:rPr>
      </w:pPr>
      <w:r w:rsidRPr="001923BE">
        <w:rPr>
          <w:b/>
        </w:rPr>
        <w:lastRenderedPageBreak/>
        <w:t>Abstract</w:t>
      </w:r>
    </w:p>
    <w:p w14:paraId="6C36FFF0" w14:textId="34907751" w:rsidR="00B06F51" w:rsidRDefault="0007683E" w:rsidP="00F8370F">
      <w:pPr>
        <w:spacing w:line="480" w:lineRule="auto"/>
        <w:jc w:val="both"/>
        <w:rPr>
          <w:b/>
        </w:rPr>
      </w:pPr>
      <w:r>
        <w:t xml:space="preserve">Evolving </w:t>
      </w:r>
      <w:r w:rsidR="00CD4049">
        <w:t xml:space="preserve">socio-demographic </w:t>
      </w:r>
      <w:r w:rsidR="00E90325">
        <w:t xml:space="preserve">trends such as changing </w:t>
      </w:r>
      <w:r>
        <w:t>gender norms</w:t>
      </w:r>
      <w:r w:rsidR="00CD4049">
        <w:t>,</w:t>
      </w:r>
      <w:r>
        <w:t xml:space="preserve"> increasing labour participation of women </w:t>
      </w:r>
      <w:r w:rsidR="00CD4049">
        <w:t xml:space="preserve">and shifts in marriage and divorce rates </w:t>
      </w:r>
      <w:r>
        <w:t xml:space="preserve">have been portrayed as factors endangering informal caregiving in the face of population ageing. This paper aims to take a dynamic view on gender patterns in informal caregiving for older people across Europe to answer the following research </w:t>
      </w:r>
      <w:bookmarkStart w:id="0" w:name="_GoBack"/>
      <w:bookmarkEnd w:id="0"/>
      <w:r>
        <w:t xml:space="preserve">questions: </w:t>
      </w:r>
      <w:proofErr w:type="spellStart"/>
      <w:r w:rsidR="00CD4049">
        <w:t>i</w:t>
      </w:r>
      <w:proofErr w:type="spellEnd"/>
      <w:r w:rsidR="00CD4049">
        <w:t xml:space="preserve">) </w:t>
      </w:r>
      <w:r w:rsidR="00CD4049" w:rsidRPr="00CD4049">
        <w:t xml:space="preserve">has </w:t>
      </w:r>
      <w:r w:rsidR="00CD4049">
        <w:t xml:space="preserve">there </w:t>
      </w:r>
      <w:r w:rsidR="00CD4049" w:rsidRPr="00CD4049">
        <w:t xml:space="preserve">been an evolution in the gender gap in informal caregiving, </w:t>
      </w:r>
      <w:r w:rsidR="00CD4049">
        <w:t xml:space="preserve">due </w:t>
      </w:r>
      <w:r w:rsidR="00CD4049" w:rsidRPr="00CD4049">
        <w:t>to changes in informal caregiving by women and/or men</w:t>
      </w:r>
      <w:r w:rsidR="00CD4049">
        <w:t xml:space="preserve">; and ii) has </w:t>
      </w:r>
      <w:r w:rsidR="00CD4049" w:rsidRPr="00CD4049">
        <w:t xml:space="preserve">the gender gap in informal caregiving evolved differently across </w:t>
      </w:r>
      <w:r w:rsidR="00CD4049">
        <w:t>different care regimes in Europe?</w:t>
      </w:r>
      <w:r w:rsidR="00CD4049" w:rsidRPr="00CD4049">
        <w:t xml:space="preserve"> </w:t>
      </w: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w:t>
      </w:r>
      <w:r w:rsidR="004A01E5">
        <w:t>socio-economic conditions, health and living arrangements across cohorts</w:t>
      </w:r>
      <w:r>
        <w:t xml:space="preserve">. </w:t>
      </w:r>
      <w:r w:rsidR="004A01E5">
        <w:t>We analyse gendered informal care trajectories across cohorts for both care inside and outside the household.</w:t>
      </w:r>
      <w:r w:rsidR="00BC7147">
        <w:rPr>
          <w:b/>
        </w:rPr>
        <w:t xml:space="preserve"> </w:t>
      </w:r>
      <w:r w:rsidR="00E3150C" w:rsidRPr="00E3150C">
        <w:t xml:space="preserve">For </w:t>
      </w:r>
      <w:r w:rsidR="003642EA">
        <w:t xml:space="preserve">both </w:t>
      </w:r>
      <w:r w:rsidR="00E3150C" w:rsidRPr="00E3150C">
        <w:t>women</w:t>
      </w:r>
      <w:r w:rsidR="003642EA">
        <w:t xml:space="preserve"> and men there was a decrease in the </w:t>
      </w:r>
      <w:r w:rsidR="00E3150C" w:rsidRPr="00E3150C">
        <w:t xml:space="preserve">probability to provide informal care outside the household </w:t>
      </w:r>
      <w:r w:rsidR="003642EA">
        <w:t xml:space="preserve">among later born cohorts, with a more pronounced declined for men and a resulting widening gender care gap. The probability to provide care inside the household </w:t>
      </w:r>
      <w:r w:rsidR="00BC7147">
        <w:t xml:space="preserve">has </w:t>
      </w:r>
      <w:r w:rsidR="003642EA">
        <w:t xml:space="preserve">increased for </w:t>
      </w:r>
      <w:r w:rsidR="00BC7147">
        <w:t>later born cohort</w:t>
      </w:r>
      <w:r w:rsidR="00B353FC">
        <w:t>s</w:t>
      </w:r>
      <w:r w:rsidR="00BC7147">
        <w:t xml:space="preserve"> for </w:t>
      </w:r>
      <w:r w:rsidR="003642EA">
        <w:t xml:space="preserve">both sexes/genders without discernible changes to the gender care gap. </w:t>
      </w:r>
      <w:r w:rsidR="00E3150C" w:rsidRPr="00E3150C">
        <w:t>The overall gender care gap seems therefore to be widening among later born cohorts, driven by men’s lower probability to provide informal</w:t>
      </w:r>
      <w:r w:rsidR="00B353FC">
        <w:t xml:space="preserve"> care</w:t>
      </w:r>
      <w:r w:rsidR="00E3150C" w:rsidRPr="00E3150C">
        <w:t>, particularly outside the household.</w:t>
      </w:r>
      <w:r w:rsidR="003642EA">
        <w:t xml:space="preserve"> Gender care gaps overall were </w:t>
      </w:r>
      <w:r w:rsidR="00BC7147">
        <w:t xml:space="preserve">closing </w:t>
      </w:r>
      <w:r w:rsidR="003642EA">
        <w:t xml:space="preserve">among later born cohorts in the Continental cluster, while they </w:t>
      </w:r>
      <w:r w:rsidR="00BC7147">
        <w:t>were widening among Southern European countries. We discuss possible causal pathways for these cohort changes and policy implications arising from them.</w:t>
      </w:r>
    </w:p>
    <w:p w14:paraId="0499815A" w14:textId="3EB2CB88" w:rsidR="004A01E5" w:rsidRDefault="004A01E5" w:rsidP="00F8370F">
      <w:pPr>
        <w:spacing w:line="480" w:lineRule="auto"/>
        <w:jc w:val="both"/>
        <w:rPr>
          <w:b/>
        </w:rPr>
        <w:sectPr w:rsidR="004A01E5">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r w:rsidRPr="00B677F0">
        <w:rPr>
          <w:b/>
        </w:rPr>
        <w:lastRenderedPageBreak/>
        <w:t>Introduction</w:t>
      </w:r>
    </w:p>
    <w:p w14:paraId="55FE3DB9" w14:textId="65EB83E4"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r w:rsidR="00036D24">
        <w:t>W</w:t>
      </w:r>
      <w:r w:rsidRPr="00AD6136">
        <w:t xml:space="preserve">omen </w:t>
      </w:r>
      <w:r w:rsidR="00036D24">
        <w:t xml:space="preserve">are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xml:space="preserve">, 2006). The exception to this has been spousal care, where </w:t>
      </w:r>
      <w:r w:rsidR="00443C4B">
        <w:t xml:space="preserve">the </w:t>
      </w:r>
      <w:r w:rsidRPr="00AD6136">
        <w:t xml:space="preserve">gender </w:t>
      </w:r>
      <w:r w:rsidR="00443C4B">
        <w:t>gap in caregiving is</w:t>
      </w:r>
      <w:r w:rsidR="0059728F">
        <w:t xml:space="preserve"> </w:t>
      </w:r>
      <w:r w:rsidR="00A26189">
        <w:t>smaller</w:t>
      </w:r>
      <w:r w:rsidRPr="00AD6136">
        <w:t xml:space="preserve"> as older retired men </w:t>
      </w:r>
      <w:r w:rsidR="003B039D">
        <w:t>are</w:t>
      </w:r>
      <w:r w:rsidR="003B039D" w:rsidRPr="00AD6136">
        <w:t xml:space="preserve"> </w:t>
      </w:r>
      <w:r w:rsidRPr="00AD6136">
        <w:t>more likely to provide informal care to their spouses (Dahlber</w:t>
      </w:r>
      <w:r w:rsidR="001F6D06">
        <w:t>g</w:t>
      </w:r>
      <w:r w:rsidR="0045561E">
        <w:t xml:space="preserve"> et al</w:t>
      </w:r>
      <w:r w:rsidRPr="00AD6136">
        <w:t xml:space="preserve"> 2007; Kahn</w:t>
      </w:r>
      <w:r w:rsidR="0045561E">
        <w:t xml:space="preserve"> et al.</w:t>
      </w:r>
      <w:r w:rsidRPr="00AD6136">
        <w:t xml:space="preserve">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1999). Other suggested explanations point to economic reasons. Gender employment and pay gaps leave women more likely to take on a caring role out of their availability of time (Arber &amp; Ginn, 1995) and/or lower opportunity cost to provide care (Carmichael</w:t>
      </w:r>
      <w:r w:rsidR="003B039D">
        <w:t xml:space="preserve"> et al.</w:t>
      </w:r>
      <w:r w:rsidRPr="00AD6136">
        <w:t xml:space="preserve"> 2010; </w:t>
      </w:r>
      <w:proofErr w:type="spellStart"/>
      <w:r w:rsidRPr="00AD6136">
        <w:t>Heitmueller</w:t>
      </w:r>
      <w:proofErr w:type="spellEnd"/>
      <w:r w:rsidRPr="00AD6136">
        <w:t>, 2007).</w:t>
      </w:r>
    </w:p>
    <w:p w14:paraId="71C7A9CE" w14:textId="1829DA0E"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 xml:space="preserve">a shortage of care at a time </w:t>
      </w:r>
      <w:r w:rsidR="003B039D" w:rsidRPr="00AD6136">
        <w:t>whe</w:t>
      </w:r>
      <w:r w:rsidR="003B039D">
        <w:t xml:space="preserve">n </w:t>
      </w:r>
      <w:r w:rsidR="003B2B36">
        <w:t>the</w:t>
      </w:r>
      <w:r w:rsidRPr="00AD6136">
        <w:t xml:space="preserve"> population </w:t>
      </w:r>
      <w:r w:rsidR="00005D9D">
        <w:t xml:space="preserve">is </w:t>
      </w:r>
      <w:r w:rsidRPr="00AD6136">
        <w:t xml:space="preserve">ageing (Agree &amp; Glaser 2009; WHO, 2007; OECD, 2011a). </w:t>
      </w:r>
      <w:r w:rsidR="00A26189">
        <w:t>For men, the impact of some of these changes</w:t>
      </w:r>
      <w:r w:rsidR="003B039D">
        <w:t xml:space="preserve"> on caregiving</w:t>
      </w:r>
      <w:r w:rsidR="00A26189">
        <w:t xml:space="preserve"> is </w:t>
      </w:r>
      <w:r w:rsidR="00443C4B">
        <w:t xml:space="preserve">apparently </w:t>
      </w:r>
      <w:r w:rsidR="00A26189">
        <w:t>less straightforward,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w:t>
      </w:r>
      <w:proofErr w:type="spellStart"/>
      <w:r w:rsidR="00A26189">
        <w:t>Suanet</w:t>
      </w:r>
      <w:proofErr w:type="spellEnd"/>
      <w:r w:rsidR="00A26189">
        <w:t xml:space="preserve"> et al. 2013), there </w:t>
      </w:r>
      <w:r w:rsidR="00443C4B">
        <w:t>is a dearth of evidence on how gender patterns in informal caregiving for older people are evolving across Europe. This is a gap this study aims to address.</w:t>
      </w:r>
    </w:p>
    <w:p w14:paraId="1592BAA0" w14:textId="43AA5C13" w:rsidR="00AD6136" w:rsidRPr="00AD6136" w:rsidRDefault="00AD6136" w:rsidP="00F8370F">
      <w:pPr>
        <w:spacing w:line="480" w:lineRule="auto"/>
        <w:jc w:val="both"/>
      </w:pPr>
      <w:r w:rsidRPr="00AD6136">
        <w:t xml:space="preserve">The past decades have witnessed an increasing </w:t>
      </w:r>
      <w:r w:rsidR="003B039D">
        <w:t>share</w:t>
      </w:r>
      <w:r w:rsidR="003B039D" w:rsidRPr="00AD6136">
        <w:t xml:space="preserve"> </w:t>
      </w:r>
      <w:r w:rsidRPr="00AD6136">
        <w:t xml:space="preserve">of women participating in the labour market, </w:t>
      </w:r>
      <w:r w:rsidR="00005D9D">
        <w:t xml:space="preserve">which is </w:t>
      </w:r>
      <w:r w:rsidRPr="00AD6136">
        <w:t>suspected to reduce the</w:t>
      </w:r>
      <w:r w:rsidR="003B039D">
        <w:t>ir</w:t>
      </w:r>
      <w:r w:rsidRPr="00AD6136">
        <w:t xml:space="preserve"> availability to provide informal care (</w:t>
      </w:r>
      <w:r w:rsidRPr="006D56C2">
        <w:t>OECD, 2011</w:t>
      </w:r>
      <w:r w:rsidR="00E764E3" w:rsidRPr="00E764E3">
        <w:t>a</w:t>
      </w:r>
      <w:r w:rsidRPr="00AD6136">
        <w:t xml:space="preserve">). </w:t>
      </w:r>
      <w:r w:rsidR="00005D9D">
        <w:t>In fact, a</w:t>
      </w:r>
      <w:r w:rsidRPr="00AD6136">
        <w:t xml:space="preserve"> number of </w:t>
      </w:r>
      <w:r w:rsidRPr="004D61F1">
        <w:t>studies find that paid employment has a negative impact on informal caregiving (Carmichael</w:t>
      </w:r>
      <w:r w:rsidR="003B039D" w:rsidRPr="004D61F1">
        <w:t xml:space="preserve"> et al.</w:t>
      </w:r>
      <w:r w:rsidRPr="004D61F1">
        <w:t xml:space="preserve"> 2010; He &amp; McHenry, 2016). The extension of</w:t>
      </w:r>
      <w:r w:rsidRPr="00AD6136">
        <w:t xml:space="preserve"> working lives resulting from the </w:t>
      </w:r>
      <w:r w:rsidRPr="00AD6136">
        <w:lastRenderedPageBreak/>
        <w:t xml:space="preserve">postponement of the statutory retirement age in some countries may have also reduced available time for providing informal care (Rodrigues &amp; </w:t>
      </w:r>
      <w:proofErr w:type="spellStart"/>
      <w:r w:rsidRPr="00AD6136">
        <w:t>Ilinca</w:t>
      </w:r>
      <w:proofErr w:type="spellEnd"/>
      <w:r w:rsidR="003B039D">
        <w:t>,</w:t>
      </w:r>
      <w:r w:rsidRPr="00AD6136">
        <w:t xml:space="preserve"> 2021).</w:t>
      </w:r>
      <w:r w:rsidR="00443C4B">
        <w:t xml:space="preserve"> These effects seem to be more pronounced among women.</w:t>
      </w:r>
    </w:p>
    <w:p w14:paraId="390E4C7D" w14:textId="7106FAC4"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The renegotiation of gender roles, namely through the increased labour market participation of women and increased role of </w:t>
      </w:r>
      <w:r w:rsidRPr="004D61F1">
        <w:t>men in childcare and housework</w:t>
      </w:r>
      <w:r w:rsidR="003B2B36" w:rsidRPr="004D61F1">
        <w:t xml:space="preserve"> (</w:t>
      </w:r>
      <w:proofErr w:type="spellStart"/>
      <w:r w:rsidR="003B2B36" w:rsidRPr="004D61F1">
        <w:t>Altintas</w:t>
      </w:r>
      <w:proofErr w:type="spellEnd"/>
      <w:r w:rsidR="003B2B36" w:rsidRPr="004D61F1">
        <w:t xml:space="preserve"> &amp; Sullivan, 2017)</w:t>
      </w:r>
      <w:r w:rsidRPr="004D61F1">
        <w:t xml:space="preserve">, may have also transferred to the realm of </w:t>
      </w:r>
      <w:r w:rsidR="003B039D" w:rsidRPr="004D61F1">
        <w:t>care</w:t>
      </w:r>
      <w:r w:rsidR="003B039D">
        <w:t xml:space="preserve"> for older</w:t>
      </w:r>
      <w:r w:rsidR="003B039D" w:rsidRPr="00AD6136">
        <w:t xml:space="preserve"> </w:t>
      </w:r>
      <w:r w:rsidR="003B039D">
        <w:t>people</w:t>
      </w:r>
      <w:r w:rsidRPr="00AD6136">
        <w:t>, leading to a reduction in informal older care by women</w:t>
      </w:r>
      <w:r w:rsidR="003B2B36">
        <w:t>, and simultaneously</w:t>
      </w:r>
      <w:r w:rsidR="00005D9D">
        <w:t xml:space="preserve"> an increase in care provided </w:t>
      </w:r>
      <w:r w:rsidRPr="00AD6136">
        <w:t xml:space="preserve">by men. </w:t>
      </w:r>
    </w:p>
    <w:p w14:paraId="7499325F" w14:textId="2A5A45FD"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may have resulted in decreased availability of spousal care in later age</w:t>
      </w:r>
      <w:r w:rsidR="00443C4B">
        <w:t xml:space="preserve"> by men</w:t>
      </w:r>
      <w:r w:rsidRPr="00AD6136">
        <w:t xml:space="preserve">. </w:t>
      </w:r>
      <w:r w:rsidR="00342D15">
        <w:t xml:space="preserve">This may </w:t>
      </w:r>
      <w:r w:rsidR="00342D15" w:rsidRPr="00AD6136">
        <w:t xml:space="preserve">be counterbalanced, </w:t>
      </w:r>
      <w:r w:rsidR="00342D15">
        <w:t xml:space="preserve">however, </w:t>
      </w:r>
      <w:r w:rsidR="00342D15" w:rsidRPr="00AD6136">
        <w:t>by the increased cohabitation witnessed in the past decades (OECD, 2011b; Brown &amp; Wright 2017)</w:t>
      </w:r>
      <w:r w:rsidR="00342D15">
        <w:t xml:space="preserve">. </w:t>
      </w:r>
      <w:r w:rsidR="00280CC4">
        <w:t>Similarly, the gender gap in life expectancy has steadily diminished (</w:t>
      </w:r>
      <w:r w:rsidR="00280CC4" w:rsidRPr="007D4F6C">
        <w:t>HMD 2015)</w:t>
      </w:r>
      <w:r w:rsidR="00280CC4">
        <w:t xml:space="preserve"> and although there is no sign of abating </w:t>
      </w:r>
      <w:r w:rsidR="00280CC4" w:rsidRPr="00B06F51">
        <w:t>age hypergamy</w:t>
      </w:r>
      <w:r w:rsidR="00280CC4">
        <w:t xml:space="preserve"> – i.e. men being older than their partners – over </w:t>
      </w:r>
      <w:r w:rsidR="00280CC4" w:rsidRPr="004D61F1">
        <w:t>time (Wilson &amp; Smallwood, 2008), this may translate</w:t>
      </w:r>
      <w:r w:rsidR="00280CC4">
        <w:t xml:space="preserv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for in-laws. </w:t>
      </w:r>
      <w:r w:rsidR="00267BB1">
        <w:t xml:space="preserve">Another potential intervening factor is changes to the functioning of older people. Improvements in health in old-age could not only impact the demand for care, but also render spouses better able to care for each other. The impact on the gender care gap depend on how such improvements would be distributed across sexes/genders, for which available evidence is contradictory (Falk et al. 2014; </w:t>
      </w:r>
      <w:proofErr w:type="spellStart"/>
      <w:r w:rsidR="00267BB1">
        <w:t>Morciano</w:t>
      </w:r>
      <w:proofErr w:type="spellEnd"/>
      <w:r w:rsidR="00267BB1">
        <w:t xml:space="preserve"> et al.2015). </w:t>
      </w:r>
    </w:p>
    <w:p w14:paraId="342E53FC" w14:textId="643BB367" w:rsidR="00AD6136" w:rsidRPr="00AD6136" w:rsidRDefault="00AD6136" w:rsidP="00F8370F">
      <w:pPr>
        <w:spacing w:line="480" w:lineRule="auto"/>
        <w:jc w:val="both"/>
      </w:pPr>
      <w:r w:rsidRPr="00AD6136">
        <w:lastRenderedPageBreak/>
        <w:t xml:space="preserve">The overarching impact of these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A2FE051" w:rsidR="00AD6136" w:rsidRPr="00AD6136" w:rsidRDefault="00AD6136" w:rsidP="00F8370F">
      <w:pPr>
        <w:spacing w:line="480" w:lineRule="auto"/>
        <w:jc w:val="both"/>
      </w:pPr>
      <w:r w:rsidRPr="00AD6136">
        <w:t>Paramount to the discussion of gender inequalities in informal 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w:t>
      </w:r>
      <w:proofErr w:type="spellStart"/>
      <w:r w:rsidRPr="00AD6136">
        <w:t>Haberkern</w:t>
      </w:r>
      <w:proofErr w:type="spellEnd"/>
      <w:r w:rsidRPr="00AD6136">
        <w:t xml:space="preserve"> 2012). </w:t>
      </w:r>
      <w:r w:rsidR="00627C53">
        <w:t>For example, i</w:t>
      </w:r>
      <w:r w:rsidR="00627C53" w:rsidRPr="00AD6136">
        <w:t xml:space="preserve">n </w:t>
      </w:r>
      <w:r w:rsidRPr="00AD6136">
        <w:t>the Nordic countries</w:t>
      </w:r>
      <w:r w:rsidR="00005D9D">
        <w:t>,</w:t>
      </w:r>
      <w:r w:rsidRPr="00AD6136">
        <w:t xml:space="preserve"> </w:t>
      </w:r>
      <w:r w:rsidR="00627C53">
        <w:t>public support for those in need of care mainly takes the form of</w:t>
      </w:r>
      <w:r w:rsidR="003B039D">
        <w:t xml:space="preserve"> in-kind</w:t>
      </w:r>
      <w:r w:rsidR="00627C53">
        <w:t xml:space="preserve">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B82671">
        <w:t>;</w:t>
      </w:r>
      <w:r w:rsidR="00627C53">
        <w:t xml:space="preserve"> while in Southern Europe</w:t>
      </w:r>
      <w:r w:rsidR="00B82671">
        <w:t>,</w:t>
      </w:r>
      <w:r w:rsidR="00627C53">
        <w:t xml:space="preserv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2011). The expectation of the family to primarily provide care with some public support for these responsibilities (i.e. cash-for-care</w:t>
      </w:r>
      <w:r w:rsidR="00B82671">
        <w:t xml:space="preserve"> benefits</w:t>
      </w:r>
      <w:r w:rsidRPr="00AD6136">
        <w:t xml:space="preserv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w:t>
      </w:r>
      <w:proofErr w:type="spellStart"/>
      <w:r w:rsidRPr="00AD6136">
        <w:t>Schmid</w:t>
      </w:r>
      <w:r w:rsidR="00B82671">
        <w:t>et</w:t>
      </w:r>
      <w:proofErr w:type="spellEnd"/>
      <w:r w:rsidR="00B82671">
        <w:t xml:space="preserve"> al.</w:t>
      </w:r>
      <w:r w:rsidRPr="00AD6136">
        <w:t xml:space="preserve"> 2012; Hammer </w:t>
      </w:r>
      <w:r w:rsidR="00005D9D">
        <w:t xml:space="preserve">&amp; </w:t>
      </w:r>
      <w:proofErr w:type="spellStart"/>
      <w:r w:rsidRPr="00AD6136">
        <w:t>Österle</w:t>
      </w:r>
      <w:proofErr w:type="spellEnd"/>
      <w:r w:rsidRPr="00AD6136">
        <w:t xml:space="preserve"> 2003)</w:t>
      </w:r>
      <w:r w:rsidR="00147748">
        <w:t xml:space="preserve">. </w:t>
      </w:r>
    </w:p>
    <w:p w14:paraId="6E246B53" w14:textId="240B966E" w:rsidR="00D15C9B" w:rsidRDefault="00AD6136" w:rsidP="00F8370F">
      <w:pPr>
        <w:spacing w:line="480" w:lineRule="auto"/>
        <w:jc w:val="both"/>
      </w:pPr>
      <w:r w:rsidRPr="00AD6136">
        <w:t xml:space="preserve">The past decades have witnessed changes in the availability and affordability of formal care options across care regimes. 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 xml:space="preserve">as part </w:t>
      </w:r>
      <w:r w:rsidRPr="00AD6136">
        <w:lastRenderedPageBreak/>
        <w:t>of cost containment measures (</w:t>
      </w:r>
      <w:proofErr w:type="spellStart"/>
      <w:r w:rsidR="00627C53">
        <w:t>Ranci</w:t>
      </w:r>
      <w:proofErr w:type="spellEnd"/>
      <w:r w:rsidR="00627C53">
        <w:t xml:space="preserve"> &amp; </w:t>
      </w:r>
      <w:proofErr w:type="spellStart"/>
      <w:r w:rsidR="00627C53">
        <w:t>Pavolini</w:t>
      </w:r>
      <w:proofErr w:type="spellEnd"/>
      <w:r w:rsidR="00627C53">
        <w:t>, 2015</w:t>
      </w:r>
      <w:r w:rsidRPr="00AD6136">
        <w:t xml:space="preserve">; </w:t>
      </w:r>
      <w:proofErr w:type="spellStart"/>
      <w:r w:rsidRPr="00AD6136">
        <w:t>Szebehely</w:t>
      </w:r>
      <w:proofErr w:type="spellEnd"/>
      <w:r w:rsidRPr="00AD6136">
        <w:t xml:space="preserve"> &amp; </w:t>
      </w:r>
      <w:proofErr w:type="spellStart"/>
      <w:r w:rsidRPr="00AD6136">
        <w:t>Trydegard</w:t>
      </w:r>
      <w:proofErr w:type="spellEnd"/>
      <w:r w:rsidRPr="00AD6136">
        <w:t xml:space="preserve"> 2012). </w:t>
      </w:r>
      <w:r w:rsidR="00627C53">
        <w:t xml:space="preserve">In view of the substitutability of formal and informal care </w:t>
      </w:r>
      <w:r w:rsidRPr="00AD6136">
        <w:t xml:space="preserve">for </w:t>
      </w:r>
      <w:r w:rsidR="00627C53">
        <w:t xml:space="preserve">these </w:t>
      </w:r>
      <w:r w:rsidRPr="00AD6136">
        <w:t>lower levels of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w:t>
      </w:r>
      <w:r w:rsidR="00627C53">
        <w:t xml:space="preserve">welfare retrenchment </w:t>
      </w:r>
      <w:r w:rsidRPr="00AD6136">
        <w:t xml:space="preserve">may have been compensated for by an increase in informal care.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w:t>
      </w:r>
      <w:r w:rsidR="00627C53">
        <w:t xml:space="preserve"> (</w:t>
      </w:r>
      <w:proofErr w:type="spellStart"/>
      <w:r w:rsidR="00627C53">
        <w:t>Ungerson</w:t>
      </w:r>
      <w:proofErr w:type="spellEnd"/>
      <w:r w:rsidR="00627C53">
        <w:t xml:space="preserve"> &amp; </w:t>
      </w:r>
      <w:proofErr w:type="spellStart"/>
      <w:r w:rsidR="00627C53">
        <w:t>Yeandle</w:t>
      </w:r>
      <w:proofErr w:type="spellEnd"/>
      <w:r w:rsidR="00627C53">
        <w:t>,</w:t>
      </w:r>
      <w:r w:rsidR="00B353FC">
        <w:t xml:space="preserve"> </w:t>
      </w:r>
      <w:r w:rsidR="00627C53">
        <w:t>2007)</w:t>
      </w:r>
      <w:r w:rsidR="00F10038">
        <w:t>, the effect of these policy changes is likely to have been differentiated across gender lines</w:t>
      </w:r>
      <w:r w:rsidRPr="00AD6136">
        <w:t xml:space="preserve">. </w:t>
      </w:r>
    </w:p>
    <w:p w14:paraId="14E0C4C4" w14:textId="6353783E" w:rsidR="00AD6136" w:rsidRPr="00AD6136" w:rsidRDefault="00B90E3C" w:rsidP="00F8370F">
      <w:pPr>
        <w:spacing w:line="480" w:lineRule="auto"/>
        <w:jc w:val="both"/>
      </w:pPr>
      <w:bookmarkStart w:id="1" w:name="_Hlk73914429"/>
      <w:r>
        <w:t xml:space="preserve">This study has therefore two main research questions. </w:t>
      </w:r>
      <w:r w:rsidR="00794656">
        <w:t>T</w:t>
      </w:r>
      <w:r w:rsidR="00D15C9B" w:rsidRPr="00AD6136">
        <w:t xml:space="preserve">he first </w:t>
      </w:r>
      <w:r w:rsidR="00794656">
        <w:t>one is</w:t>
      </w:r>
      <w:r w:rsidR="00794656">
        <w:rPr>
          <w:rStyle w:val="CommentReference"/>
        </w:rPr>
        <w:t xml:space="preserve"> </w:t>
      </w:r>
      <w:r w:rsidR="00D15C9B" w:rsidRPr="00AD6136">
        <w:t>whether there has been an evolution in the gender gap in informal caregiving</w:t>
      </w:r>
      <w:r w:rsidR="00B82671">
        <w:t>,</w:t>
      </w:r>
      <w:r w:rsidR="00D15C9B" w:rsidRPr="00AD6136">
        <w:t xml:space="preserve">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second research question is whether the gender gap in informal caregiving has evolved differently across care regimes. </w:t>
      </w:r>
    </w:p>
    <w:bookmarkEnd w:id="1"/>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r w:rsidRPr="00AD6136">
        <w:rPr>
          <w:i/>
          <w:lang w:val="en-US"/>
        </w:rPr>
        <w:t>Sample</w:t>
      </w:r>
    </w:p>
    <w:p w14:paraId="0474B0C5" w14:textId="65B48597"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Poland </w:t>
      </w:r>
      <w:r w:rsidR="00BC2319">
        <w:rPr>
          <w:lang w:val="en-US"/>
        </w:rPr>
        <w:t xml:space="preserve">and </w:t>
      </w:r>
      <w:r w:rsidRPr="00AD6136">
        <w:rPr>
          <w:lang w:val="en-US"/>
        </w:rPr>
        <w:t xml:space="preserve">the Czech Republic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3A3484BF" w:rsidR="00AD6136" w:rsidRPr="00AD6136" w:rsidRDefault="00AD6136" w:rsidP="00AD6136">
      <w:pPr>
        <w:spacing w:line="480" w:lineRule="auto"/>
        <w:jc w:val="both"/>
        <w:rPr>
          <w:lang w:val="en-US"/>
        </w:rPr>
      </w:pPr>
      <w:r w:rsidRPr="00AD6136">
        <w:rPr>
          <w:lang w:val="en-US"/>
        </w:rPr>
        <w:lastRenderedPageBreak/>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w:t>
      </w:r>
      <w:proofErr w:type="spellStart"/>
      <w:r w:rsidRPr="00AD6136">
        <w:rPr>
          <w:lang w:val="en-US"/>
        </w:rPr>
        <w:t>Carrieri</w:t>
      </w:r>
      <w:proofErr w:type="spellEnd"/>
      <w:r w:rsidR="00B82671">
        <w:rPr>
          <w:lang w:val="en-US"/>
        </w:rPr>
        <w:t xml:space="preserve"> et al.</w:t>
      </w:r>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4839197A" w:rsidR="00AD6136" w:rsidRPr="00AD6136" w:rsidRDefault="00AD6136" w:rsidP="00AD6136">
      <w:pPr>
        <w:spacing w:line="480" w:lineRule="auto"/>
        <w:jc w:val="both"/>
        <w:rPr>
          <w:lang w:val="en-US"/>
        </w:rPr>
      </w:pPr>
      <w:r w:rsidRPr="00AD6136">
        <w:rPr>
          <w:lang w:val="en-US"/>
        </w:rPr>
        <w:t xml:space="preserve">The final analytic sample </w:t>
      </w:r>
      <w:r w:rsidR="00626AA0" w:rsidRPr="00AD6136">
        <w:rPr>
          <w:lang w:val="en-US"/>
        </w:rPr>
        <w:t>include</w:t>
      </w:r>
      <w:r w:rsidR="00626AA0">
        <w:rPr>
          <w:lang w:val="en-US"/>
        </w:rPr>
        <w:t>d</w:t>
      </w:r>
      <w:r w:rsidR="00626AA0" w:rsidRPr="00AD6136">
        <w:rPr>
          <w:lang w:val="en-US"/>
        </w:rPr>
        <w:t xml:space="preserve"> </w:t>
      </w:r>
      <w:r w:rsidRPr="00AD6136">
        <w:rPr>
          <w:lang w:val="en-US"/>
        </w:rPr>
        <w:t>71</w:t>
      </w:r>
      <w:r w:rsidR="00B82671">
        <w:rPr>
          <w:lang w:val="en-US"/>
        </w:rPr>
        <w:t>,</w:t>
      </w:r>
      <w:r w:rsidRPr="00AD6136">
        <w:rPr>
          <w:lang w:val="en-US"/>
        </w:rPr>
        <w:t>166 observations from 22</w:t>
      </w:r>
      <w:r w:rsidR="00B82671">
        <w:rPr>
          <w:lang w:val="en-US"/>
        </w:rPr>
        <w:t>,</w:t>
      </w:r>
      <w:r w:rsidRPr="00AD6136">
        <w:rPr>
          <w:lang w:val="en-US"/>
        </w:rPr>
        <w:t>872 individuals, 39</w:t>
      </w:r>
      <w:r w:rsidR="00B82671">
        <w:rPr>
          <w:lang w:val="en-US"/>
        </w:rPr>
        <w:t>,</w:t>
      </w:r>
      <w:r w:rsidRPr="00AD6136">
        <w:rPr>
          <w:lang w:val="en-US"/>
        </w:rPr>
        <w:t xml:space="preserve">470 of which </w:t>
      </w:r>
      <w:r w:rsidR="00626AA0">
        <w:rPr>
          <w:lang w:val="en-US"/>
        </w:rPr>
        <w:t xml:space="preserve">belong to </w:t>
      </w:r>
      <w:r w:rsidRPr="00AD6136">
        <w:rPr>
          <w:lang w:val="en-US"/>
        </w:rPr>
        <w:t xml:space="preserve">women (representing 55.5% of the sample) and </w:t>
      </w:r>
      <w:r w:rsidR="00B82671" w:rsidRPr="00AD6136">
        <w:rPr>
          <w:lang w:val="en-US"/>
        </w:rPr>
        <w:t>31</w:t>
      </w:r>
      <w:r w:rsidR="00B82671">
        <w:rPr>
          <w:lang w:val="en-US"/>
        </w:rPr>
        <w:t>,</w:t>
      </w:r>
      <w:r w:rsidRPr="00AD6136">
        <w:rPr>
          <w:lang w:val="en-US"/>
        </w:rPr>
        <w:t xml:space="preserve">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5193264D"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612756BD" w:rsidR="00AD6136" w:rsidRPr="00AD6136" w:rsidRDefault="00626AA0" w:rsidP="00AD6136">
      <w:pPr>
        <w:spacing w:line="480" w:lineRule="auto"/>
        <w:jc w:val="both"/>
        <w:rPr>
          <w:lang w:val="en-US"/>
        </w:rPr>
      </w:pPr>
      <w:r>
        <w:rPr>
          <w:lang w:val="en-US"/>
        </w:rPr>
        <w:t>Additional covariates include</w:t>
      </w:r>
      <w:r w:rsidR="00C50106">
        <w:rPr>
          <w:lang w:val="en-US"/>
        </w:rPr>
        <w:t>d</w:t>
      </w:r>
      <w:r>
        <w:rPr>
          <w:lang w:val="en-US"/>
        </w:rPr>
        <w:t xml:space="preserv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w:t>
      </w:r>
      <w:r w:rsidR="00AD6136" w:rsidRPr="00AD6136">
        <w:rPr>
          <w:lang w:val="en-US"/>
        </w:rPr>
        <w:lastRenderedPageBreak/>
        <w:t xml:space="preserve">variable). We further controlled 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living in the same household as the respondent (binary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75EE7FB" w14:textId="6DDDD9C7" w:rsidR="00AD6136" w:rsidRPr="00AD6136" w:rsidRDefault="00AD6136" w:rsidP="00AD6136">
      <w:pPr>
        <w:spacing w:line="480" w:lineRule="auto"/>
        <w:jc w:val="both"/>
        <w:rPr>
          <w:lang w:val="en-US"/>
        </w:rPr>
      </w:pPr>
      <w:r w:rsidRPr="00AD6136">
        <w:rPr>
          <w:lang w:val="en-US"/>
        </w:rPr>
        <w:t xml:space="preserve">Our analytical strategy closely follows that by Marshall et al. (2015) for social networks, </w:t>
      </w:r>
      <w:r w:rsidR="00E334B0">
        <w:rPr>
          <w:lang w:val="en-US"/>
        </w:rPr>
        <w:t>adapted</w:t>
      </w:r>
      <w:r w:rsidR="00E334B0" w:rsidRPr="00AD6136">
        <w:rPr>
          <w:lang w:val="en-US"/>
        </w:rPr>
        <w:t xml:space="preserve"> </w:t>
      </w:r>
      <w:r w:rsidRPr="00AD6136">
        <w:rPr>
          <w:lang w:val="en-US"/>
        </w:rPr>
        <w:t>to model cohort differences in providing informal care. We first</w:t>
      </w:r>
      <w:r w:rsidR="004E31BE">
        <w:rPr>
          <w:lang w:val="en-US"/>
        </w:rPr>
        <w:t xml:space="preserve"> constructed </w:t>
      </w:r>
      <w:r w:rsidRPr="00AD6136">
        <w:rPr>
          <w:lang w:val="en-US"/>
        </w:rPr>
        <w:t xml:space="preserve">mixed effects logistic regression models </w:t>
      </w:r>
      <w:r w:rsidR="004E31BE">
        <w:rPr>
          <w:lang w:val="en-US"/>
        </w:rPr>
        <w:t>to estimate</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 This methodological approach affords us two advantages: 1) to account for the unbalanced nature of our panel </w:t>
      </w:r>
      <w:r w:rsidR="00E334B0">
        <w:rPr>
          <w:lang w:val="en-US"/>
        </w:rPr>
        <w:t xml:space="preserve">as not all respondents have full information for all observed waves </w:t>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5E126E22"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r w:rsidR="00E334B0">
        <w:rPr>
          <w:lang w:val="en-US"/>
        </w:rPr>
        <w:t xml:space="preserve"> (cf. </w:t>
      </w:r>
      <w:proofErr w:type="spellStart"/>
      <w:r w:rsidR="00E334B0">
        <w:rPr>
          <w:lang w:val="en-US"/>
        </w:rPr>
        <w:t>Suanet</w:t>
      </w:r>
      <w:proofErr w:type="spellEnd"/>
      <w:r w:rsidR="00E334B0">
        <w:rPr>
          <w:lang w:val="en-US"/>
        </w:rPr>
        <w:t xml:space="preserve">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 xml:space="preserve">To disentangle age and cohort </w:t>
      </w:r>
      <w:r w:rsidR="00E334B0">
        <w:rPr>
          <w:lang w:val="en-US"/>
        </w:rPr>
        <w:lastRenderedPageBreak/>
        <w:t>effects, w</w:t>
      </w:r>
      <w:r w:rsidRPr="00AD6136">
        <w:rPr>
          <w:lang w:val="en-US"/>
        </w:rPr>
        <w:t>e additionally present graphs of the trajectories of providing care across sex/gender and 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w:t>
      </w:r>
      <w:r w:rsidR="0045561E">
        <w:rPr>
          <w:lang w:val="en-US"/>
        </w:rPr>
        <w:t>d</w:t>
      </w:r>
      <w:r w:rsidRPr="00AD6136">
        <w:rPr>
          <w:lang w:val="en-US"/>
        </w:rPr>
        <w:t xml:space="preserve"> calibrated cross-sectional individual weights, calculated for the entire survey sample at the baseline wave in which each individual joined the sample. All analyses were performed us</w:t>
      </w:r>
      <w:r w:rsidR="004E31BE">
        <w:rPr>
          <w:lang w:val="en-US"/>
        </w:rPr>
        <w:t xml:space="preserve">ing </w:t>
      </w:r>
      <w:r w:rsidRPr="00AD6136">
        <w:rPr>
          <w:lang w:val="en-US"/>
        </w:rPr>
        <w:t xml:space="preserve">STATA </w:t>
      </w:r>
      <w:r w:rsidR="004E31BE">
        <w:rPr>
          <w:lang w:val="en-US"/>
        </w:rPr>
        <w:t>version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21A51EFF" w:rsidR="002C0C93" w:rsidRDefault="002C0C93" w:rsidP="001C3671">
      <w:pPr>
        <w:spacing w:line="480" w:lineRule="auto"/>
        <w:jc w:val="both"/>
      </w:pPr>
      <w:r>
        <w:t xml:space="preserve">Table 1 presents selected sample characteristics </w:t>
      </w:r>
      <w:r w:rsidR="0045561E">
        <w:t xml:space="preserve">across </w:t>
      </w:r>
      <w:r>
        <w:t xml:space="preserve">waves 1 </w:t>
      </w:r>
      <w:r w:rsidR="0045561E">
        <w:t xml:space="preserve">to </w:t>
      </w:r>
      <w:r>
        <w:t xml:space="preserve">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w:t>
      </w:r>
      <w:r w:rsidR="0045561E">
        <w:t xml:space="preserve">three </w:t>
      </w:r>
      <w:r>
        <w:t xml:space="preserve">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xml:space="preserve">. In these same </w:t>
      </w:r>
      <w:r w:rsidR="00DC37DA">
        <w:t xml:space="preserve">three </w:t>
      </w:r>
      <w:r w:rsidR="00587FF3">
        <w:t>cohorts, the overall</w:t>
      </w:r>
      <w:r>
        <w:t xml:space="preserve"> </w:t>
      </w:r>
      <w:r w:rsidR="00B61DE9">
        <w:t xml:space="preserve">prevalence of </w:t>
      </w:r>
      <w:r>
        <w:t>informal care</w:t>
      </w:r>
      <w:r w:rsidR="00587FF3">
        <w:t>giving</w:t>
      </w:r>
      <w:r>
        <w:t xml:space="preserve"> is lower </w:t>
      </w:r>
      <w:r w:rsidR="00596E5D">
        <w:t>for</w:t>
      </w:r>
      <w:r>
        <w:t xml:space="preserve"> both women and men</w:t>
      </w:r>
      <w:r w:rsidR="00596E5D">
        <w:t xml:space="preserve"> in comparison to </w:t>
      </w:r>
      <w:r w:rsidR="00587FF3">
        <w:t xml:space="preserve">the </w:t>
      </w:r>
      <w:r w:rsidR="00596E5D">
        <w:t>later born cohorts</w:t>
      </w:r>
      <w:r>
        <w:t>.</w:t>
      </w:r>
    </w:p>
    <w:p w14:paraId="2570C191" w14:textId="3CA4369B" w:rsidR="00F8370F" w:rsidRDefault="00F8370F" w:rsidP="00F8370F">
      <w:pPr>
        <w:spacing w:line="480" w:lineRule="auto"/>
        <w:jc w:val="center"/>
      </w:pPr>
      <w:r>
        <w:t>[TABLE 1 HERE]</w:t>
      </w:r>
    </w:p>
    <w:p w14:paraId="02998CC5" w14:textId="3917B586"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r w:rsidR="00FF5349">
        <w:t>In the youngest</w:t>
      </w:r>
      <w:r w:rsidR="00D450E9">
        <w:t xml:space="preserve">/latest born </w:t>
      </w:r>
      <w:r w:rsidR="00FF5349">
        <w:t>cohort</w:t>
      </w:r>
      <w:r w:rsidR="00706ADF">
        <w:t xml:space="preserve"> </w:t>
      </w:r>
      <w:r w:rsidR="00C279FE">
        <w:t>(1950-54),</w:t>
      </w:r>
      <w:r w:rsidR="00FF5349">
        <w:t xml:space="preserve"> </w:t>
      </w:r>
      <w:r w:rsidR="00DF0C9D">
        <w:t xml:space="preserve">women </w:t>
      </w:r>
      <w:r w:rsidR="00DC37DA">
        <w:t xml:space="preserve">have </w:t>
      </w:r>
      <w:r w:rsidR="00DF0C9D">
        <w:t xml:space="preserve">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w:t>
      </w:r>
      <w:r w:rsidR="00DC37DA">
        <w:t xml:space="preserve">have </w:t>
      </w:r>
      <w:r w:rsidR="00F82508">
        <w:t xml:space="preserve">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 xml:space="preserve">cohorts in comparison with the </w:t>
      </w:r>
      <w:r w:rsidR="00A01C35">
        <w:lastRenderedPageBreak/>
        <w:t>unadjusted model. For the earliest age cohort</w:t>
      </w:r>
      <w:r w:rsidR="00587FF3">
        <w:t xml:space="preserve"> (1900-29)</w:t>
      </w:r>
      <w:r w:rsidR="00A01C35">
        <w:t xml:space="preserve">, on the contrary, the </w:t>
      </w:r>
      <w:r w:rsidR="00333219">
        <w:t xml:space="preserve">absolute </w:t>
      </w:r>
      <w:r w:rsidR="00A01C35">
        <w:t xml:space="preserve">size of the gender 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74AC0FAA" w:rsidR="0056619E" w:rsidRDefault="00842F95" w:rsidP="001C3671">
      <w:pPr>
        <w:spacing w:line="480" w:lineRule="auto"/>
        <w:jc w:val="both"/>
      </w:pPr>
      <w:r>
        <w:t xml:space="preserve">Figure </w:t>
      </w:r>
      <w:r w:rsidR="00280B13">
        <w:t>1</w:t>
      </w:r>
      <w:r>
        <w:t xml:space="preserve">, provides </w:t>
      </w:r>
      <w:r w:rsidR="005A1DDB">
        <w:t>the graphic representation of the informal caregiving trajectories for each cohort</w:t>
      </w:r>
      <w:r w:rsidR="00DC37DA">
        <w:t xml:space="preserve">, for women and men separately, </w:t>
      </w:r>
      <w:r w:rsidR="005A1DDB">
        <w:t xml:space="preserve">over </w:t>
      </w:r>
      <w:r w:rsidR="00333219">
        <w:t xml:space="preserve">the </w:t>
      </w:r>
      <w:r w:rsidR="005A1DDB">
        <w:t>11 year period</w:t>
      </w:r>
      <w:r w:rsidR="00333219">
        <w:t xml:space="preserve"> </w:t>
      </w:r>
      <w:r w:rsidR="00DC37DA">
        <w:t xml:space="preserve">in which </w:t>
      </w:r>
      <w:r w:rsidR="00333219">
        <w:t>they are observed in our sample</w:t>
      </w:r>
      <w:r w:rsidR="005A1DDB">
        <w:t xml:space="preserve">.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r w:rsidR="005A1DDB">
        <w:t xml:space="preserve">For women we observe </w:t>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men, </w:t>
      </w:r>
      <w:r w:rsidR="000E5F38">
        <w:t xml:space="preserve">Figure </w:t>
      </w:r>
      <w:r w:rsidR="00333219">
        <w:t>1</w:t>
      </w:r>
      <w:r w:rsidR="000E5F38">
        <w:t xml:space="preserve"> suggests that later born cohorts have a lower probability to provide informal</w:t>
      </w:r>
      <w:r w:rsidR="0012115A">
        <w:t xml:space="preserve"> care</w:t>
      </w:r>
      <w:r w:rsidR="000E5F38">
        <w:t xml:space="preserve">. The larger gender </w:t>
      </w:r>
      <w:r w:rsidR="00DC37DA">
        <w:t xml:space="preserve">care </w:t>
      </w:r>
      <w:r w:rsidR="000E5F38">
        <w:t>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7E1EF23" w:rsidR="0056619E" w:rsidRDefault="0056619E" w:rsidP="001C3671">
      <w:pPr>
        <w:spacing w:line="480" w:lineRule="auto"/>
        <w:jc w:val="both"/>
      </w:pPr>
      <w:r>
        <w:t xml:space="preserve">In the age ranges in which the cohorts born in 1940 or after </w:t>
      </w:r>
      <w:r w:rsidR="00AA24ED">
        <w:t xml:space="preserve">are </w:t>
      </w:r>
      <w:r w:rsidR="00333219">
        <w:t xml:space="preserve">included </w:t>
      </w:r>
      <w:r>
        <w:t>in our sample, informal care is likely to be provided outside the household to older relatives, while in earlier born cohorts spousal care</w:t>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AA24ED">
        <w:t xml:space="preserve"> is wider</w:t>
      </w:r>
      <w:r>
        <w:t>)</w:t>
      </w:r>
      <w:r w:rsidR="00596E5D">
        <w:t xml:space="preserve">, particularly for the cohorts born between 1940 and 1949. There is therefore </w:t>
      </w:r>
      <w:r>
        <w:t xml:space="preserve">an increasing gender care gap in this type of care for </w:t>
      </w:r>
      <w:r w:rsidR="00280B13">
        <w:t xml:space="preserve">later born cohorts. Conversely, the prevalence of informal care provided inside the household (Figure 2b) increases among later born cohorts for both men and women, without a clear effect on the gender </w:t>
      </w:r>
      <w:r w:rsidR="00AA24ED">
        <w:t xml:space="preserve">care </w:t>
      </w:r>
      <w:r w:rsidR="00280B13">
        <w:t>gap.</w:t>
      </w:r>
    </w:p>
    <w:p w14:paraId="217BB4B6" w14:textId="6D1675BC" w:rsidR="00F8370F" w:rsidRDefault="00F8370F" w:rsidP="00F8370F">
      <w:pPr>
        <w:spacing w:line="480" w:lineRule="auto"/>
        <w:jc w:val="center"/>
      </w:pPr>
      <w:r>
        <w:lastRenderedPageBreak/>
        <w:t>[FIGURE 2a AND 2b HERE]</w:t>
      </w:r>
    </w:p>
    <w:p w14:paraId="049D1678" w14:textId="351E224A" w:rsidR="00280B13" w:rsidRDefault="005A7D48" w:rsidP="001C3671">
      <w:pPr>
        <w:spacing w:line="480" w:lineRule="auto"/>
        <w:jc w:val="both"/>
      </w:pPr>
      <w:r>
        <w:t xml:space="preserve">We </w:t>
      </w:r>
      <w:r w:rsidR="004E31BE">
        <w:t xml:space="preserve">evaluated the </w:t>
      </w:r>
      <w:r>
        <w:t xml:space="preserve">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The Continental regime shows practically the same gender gap pattern as observed for the pooled sample of countries</w:t>
      </w:r>
      <w:r w:rsidR="00E73A22">
        <w:t>.</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for any of the cohorts analysed.</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r w:rsidRPr="00CE06D5">
        <w:rPr>
          <w:b/>
        </w:rPr>
        <w:t>Discussion</w:t>
      </w:r>
    </w:p>
    <w:p w14:paraId="1A5F6F3B" w14:textId="173D4A7B"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w:t>
      </w:r>
      <w:r w:rsidR="00E73A22">
        <w:t xml:space="preserve">born </w:t>
      </w:r>
      <w:r>
        <w:t xml:space="preserve">cohorts. These patterns hold after adjusting for changes in socio-economic conditions, health and living arrangements across cohorts, as well as for both </w:t>
      </w:r>
      <w:proofErr w:type="gramStart"/>
      <w:r>
        <w:t>care</w:t>
      </w:r>
      <w:proofErr w:type="gramEnd"/>
      <w:r>
        <w:t xml:space="preserve"> provided outside </w:t>
      </w:r>
      <w:r w:rsidR="00E60900">
        <w:t xml:space="preserve">and inside </w:t>
      </w:r>
      <w:r>
        <w:t>the household.</w:t>
      </w:r>
    </w:p>
    <w:p w14:paraId="5A3AF56F" w14:textId="7EA81A04" w:rsidR="00EE5AC9" w:rsidRDefault="00EE5AC9" w:rsidP="00EE5AC9">
      <w:pPr>
        <w:spacing w:line="480" w:lineRule="auto"/>
        <w:jc w:val="both"/>
      </w:pPr>
      <w:r>
        <w:lastRenderedPageBreak/>
        <w:t xml:space="preserve">We are able to further disentangle cohort and age effects, to ascertain whether the gender gap in </w:t>
      </w:r>
      <w:r w:rsidR="00E60900">
        <w:t xml:space="preserve">informal caregiving </w:t>
      </w:r>
      <w:r>
        <w:t xml:space="preserve">has changed between cohorts over overlapping age ranges. For women, the 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r w:rsidR="00E73A22">
        <w:t xml:space="preserve">inside </w:t>
      </w:r>
      <w:r>
        <w:t xml:space="preserve">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w:t>
      </w:r>
      <w:r w:rsidR="00E73A22">
        <w:t xml:space="preserve">overall </w:t>
      </w:r>
      <w:r>
        <w:t xml:space="preserve">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750FBE53"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w:t>
      </w:r>
      <w:r w:rsidR="00C247DF">
        <w:t>we</w:t>
      </w:r>
      <w:r w:rsidR="00EE5AC9">
        <w:t xml:space="preserve">re less likely to provide informal care, but this </w:t>
      </w:r>
      <w:r w:rsidR="00C247DF">
        <w:t>wa</w:t>
      </w:r>
      <w:r w:rsidR="00EE5AC9">
        <w:t xml:space="preserve">s especially the case </w:t>
      </w:r>
      <w:r>
        <w:t>for men</w:t>
      </w:r>
      <w:r w:rsidR="00EE5AC9">
        <w:t>, leading to a widening gender gap among later born cohorts. In the Northern cluster we f</w:t>
      </w:r>
      <w:r w:rsidR="00C247DF">
        <w:t>ou</w:t>
      </w:r>
      <w:r w:rsidR="00EE5AC9">
        <w:t xml:space="preserve">nd the least gender </w:t>
      </w:r>
      <w:r>
        <w:t>differences in prevalence of caregiving</w:t>
      </w:r>
      <w:r w:rsidR="00EE5AC9">
        <w:t>, particularly among later born cohorts.</w:t>
      </w:r>
    </w:p>
    <w:p w14:paraId="0416AF7D" w14:textId="28E9593F" w:rsidR="00EE5AC9" w:rsidRDefault="00EE5AC9" w:rsidP="00EE5AC9">
      <w:pPr>
        <w:spacing w:line="480" w:lineRule="auto"/>
        <w:jc w:val="both"/>
      </w:pPr>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w:t>
      </w:r>
      <w:r w:rsidR="002D2023" w:rsidRPr="006D56C2">
        <w:t>Fischer &amp; Müller, 2020</w:t>
      </w:r>
      <w:r w:rsidR="002D2023">
        <w:t xml:space="preserve">, Rodrigues &amp; </w:t>
      </w:r>
      <w:proofErr w:type="spellStart"/>
      <w:r w:rsidR="002D2023">
        <w:t>Ilinca</w:t>
      </w:r>
      <w:proofErr w:type="spellEnd"/>
      <w:r w:rsidR="002D2023">
        <w:t>,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w:t>
      </w:r>
      <w:r>
        <w:lastRenderedPageBreak/>
        <w:t xml:space="preserve">have come of age in a period marked by significant gender equality progress in a number of areas </w:t>
      </w:r>
      <w:r w:rsidR="002D2023">
        <w:t>(</w:t>
      </w:r>
      <w:r w:rsidR="005D4899" w:rsidRPr="006D56C2">
        <w:t xml:space="preserve">Eurobarometer, 2007; </w:t>
      </w:r>
      <w:r w:rsidR="00F835B6" w:rsidRPr="005F7154">
        <w:t>OECD</w:t>
      </w:r>
      <w:r w:rsidR="00F835B6" w:rsidRPr="00C913D2">
        <w:t xml:space="preserve"> 2012</w:t>
      </w:r>
      <w:r w:rsidR="002D2023">
        <w:t>)</w:t>
      </w:r>
      <w:r>
        <w:t xml:space="preserve">. </w:t>
      </w:r>
      <w:r w:rsidR="009270CE">
        <w:t>The possible impact of shifting gender norms deserves some qualification though</w:t>
      </w:r>
      <w:r w:rsidR="00C247DF">
        <w:t xml:space="preserve">. Despite the above-mentioned </w:t>
      </w:r>
      <w:r w:rsidR="003C0969">
        <w:t>decrease in</w:t>
      </w:r>
      <w:r w:rsidR="00C247DF">
        <w:t xml:space="preserve"> the female probability to provide informal care outside the household</w:t>
      </w:r>
      <w:r w:rsidR="009270CE">
        <w:t xml:space="preserve">, </w:t>
      </w:r>
      <w:r>
        <w:t xml:space="preserve">the </w:t>
      </w:r>
      <w:r w:rsidR="009270CE">
        <w:t xml:space="preserve">prevalence of </w:t>
      </w:r>
      <w:r>
        <w:t xml:space="preserve">informal care outside the household </w:t>
      </w:r>
      <w:r w:rsidR="003C0969">
        <w:t xml:space="preserve">among </w:t>
      </w:r>
      <w:r w:rsidR="009270CE">
        <w:t xml:space="preserve">men </w:t>
      </w:r>
      <w:r>
        <w:t>has not only failed to increase, but has actually reduced.</w:t>
      </w:r>
      <w:r w:rsidR="00D63CED">
        <w:t xml:space="preserve"> </w:t>
      </w:r>
      <w:r w:rsidR="003C0969">
        <w:t xml:space="preserve">Similarly, gendered patterns of care inside the household also remained unchanged. </w:t>
      </w:r>
      <w:r w:rsidR="005C495B">
        <w:t xml:space="preserve">Informal care therefore stands out in relation to other </w:t>
      </w:r>
      <w:r w:rsidR="005C495B" w:rsidRPr="00511A96">
        <w:t>unpaid activities where men’s engagement has increased in the past decades (</w:t>
      </w:r>
      <w:proofErr w:type="spellStart"/>
      <w:r w:rsidR="005C495B" w:rsidRPr="000F7477">
        <w:t>Evertsson</w:t>
      </w:r>
      <w:proofErr w:type="spellEnd"/>
      <w:r w:rsidR="005C495B" w:rsidRPr="000F7477">
        <w:t xml:space="preserve"> &amp; </w:t>
      </w:r>
      <w:proofErr w:type="spellStart"/>
      <w:r w:rsidR="005C495B" w:rsidRPr="000F7477">
        <w:t>Nermo</w:t>
      </w:r>
      <w:proofErr w:type="spellEnd"/>
      <w:r w:rsidR="005C495B" w:rsidRPr="000F7477">
        <w:t>, 2007</w:t>
      </w:r>
      <w:r w:rsidR="005C495B" w:rsidRPr="006D56C2">
        <w:t xml:space="preserve">; Bernhardt et al. 2009; </w:t>
      </w:r>
      <w:proofErr w:type="spellStart"/>
      <w:r w:rsidR="005C495B" w:rsidRPr="006D56C2">
        <w:t>Koslowski</w:t>
      </w:r>
      <w:proofErr w:type="spellEnd"/>
      <w:r w:rsidR="005C495B" w:rsidRPr="006D56C2">
        <w:t>, 2011</w:t>
      </w:r>
      <w:r w:rsidR="005C495B" w:rsidRPr="00511A96">
        <w:t>).</w:t>
      </w:r>
      <w:r>
        <w:t xml:space="preserve"> </w:t>
      </w:r>
      <w:r w:rsidR="005D4899">
        <w:t xml:space="preserve">Other possible explanations for this decline </w:t>
      </w:r>
      <w:r w:rsidR="003C0969">
        <w:t xml:space="preserve">in care outside the household </w:t>
      </w:r>
      <w:r w:rsidR="005D4899">
        <w:t>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7B3BFC4C" w:rsidR="00EE5AC9" w:rsidRDefault="00EE5AC9" w:rsidP="00EE5AC9">
      <w:pPr>
        <w:spacing w:line="480" w:lineRule="auto"/>
        <w:jc w:val="both"/>
      </w:pPr>
      <w:r>
        <w:t xml:space="preserve">The rekindling of informal care has been one of the underlying drivers of policy changes in the area of care for older people in Europe, even if care itself has gained prominence and been recognized as a new social risk </w:t>
      </w:r>
      <w:r w:rsidRPr="007D4F6C">
        <w:t>(</w:t>
      </w:r>
      <w:proofErr w:type="spellStart"/>
      <w:r w:rsidRPr="007D4F6C">
        <w:t>Ranci</w:t>
      </w:r>
      <w:proofErr w:type="spellEnd"/>
      <w:r w:rsidRPr="007D4F6C">
        <w:t xml:space="preserve"> &amp; </w:t>
      </w:r>
      <w:proofErr w:type="spellStart"/>
      <w:r w:rsidRPr="007D4F6C">
        <w:t>Pavolini</w:t>
      </w:r>
      <w:proofErr w:type="spellEnd"/>
      <w:r w:rsidRPr="007D4F6C">
        <w:t>, 2015</w:t>
      </w:r>
      <w:r>
        <w:t>).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w:t>
      </w:r>
      <w:r w:rsidRPr="00511A96">
        <w:t>market (</w:t>
      </w:r>
      <w:r w:rsidRPr="006D56C2">
        <w:t xml:space="preserve">Le </w:t>
      </w:r>
      <w:proofErr w:type="spellStart"/>
      <w:r w:rsidRPr="006D56C2">
        <w:t>Bihan</w:t>
      </w:r>
      <w:proofErr w:type="spellEnd"/>
      <w:r w:rsidRPr="006D56C2">
        <w:t xml:space="preserve"> et al., 2019</w:t>
      </w:r>
      <w:r w:rsidRPr="00511A96">
        <w:t xml:space="preserve">). </w:t>
      </w:r>
      <w:r w:rsidR="003C0969" w:rsidRPr="000F7477">
        <w:t>Care</w:t>
      </w:r>
      <w:r w:rsidR="003C0969">
        <w:t xml:space="preserve"> outside the household in particular may have been easier to replace by care </w:t>
      </w:r>
      <w:r w:rsidR="003C0969" w:rsidRPr="00511A96">
        <w:t>services (</w:t>
      </w:r>
      <w:proofErr w:type="spellStart"/>
      <w:r w:rsidR="003C0969" w:rsidRPr="006D56C2">
        <w:t>Mentzakis</w:t>
      </w:r>
      <w:proofErr w:type="spellEnd"/>
      <w:r w:rsidR="003C0969" w:rsidRPr="006D56C2">
        <w:t xml:space="preserve"> et al. 2009</w:t>
      </w:r>
      <w:r w:rsidR="003C0969" w:rsidRPr="00511A96">
        <w:t xml:space="preserve">). </w:t>
      </w:r>
      <w:r w:rsidRPr="000F7477">
        <w:t>In</w:t>
      </w:r>
      <w:r>
        <w:t xml:space="preserve">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de-</w:t>
      </w:r>
      <w:proofErr w:type="spellStart"/>
      <w:r>
        <w:t>familialization</w:t>
      </w:r>
      <w:proofErr w:type="spellEnd"/>
      <w:r>
        <w:t xml:space="preserve">.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3C0969">
        <w:t xml:space="preserve">Some studies have </w:t>
      </w:r>
      <w:r w:rsidR="00620E77">
        <w:t xml:space="preserve">indicated a </w:t>
      </w:r>
      <w:r w:rsidR="003C0969">
        <w:t xml:space="preserve">diminishing </w:t>
      </w:r>
      <w:r w:rsidR="00620E77">
        <w:t xml:space="preserve">prevalence of disability in old-age, albeit with ambiguous findings as its gender </w:t>
      </w:r>
      <w:r w:rsidR="00620E77" w:rsidRPr="007D4F6C">
        <w:t>differences</w:t>
      </w:r>
      <w:r w:rsidR="00CE6497" w:rsidRPr="007D4F6C">
        <w:t xml:space="preserve"> </w:t>
      </w:r>
      <w:r w:rsidR="005316F9" w:rsidRPr="007D4F6C">
        <w:t>(</w:t>
      </w:r>
      <w:r w:rsidR="00620E77" w:rsidRPr="007D4F6C">
        <w:t xml:space="preserve">Falk et al. 2014; </w:t>
      </w:r>
      <w:proofErr w:type="spellStart"/>
      <w:r w:rsidR="00620E77" w:rsidRPr="007D4F6C">
        <w:t>Morciano</w:t>
      </w:r>
      <w:proofErr w:type="spellEnd"/>
      <w:r w:rsidR="00620E77" w:rsidRPr="007D4F6C">
        <w:t xml:space="preserve"> et al.2015</w:t>
      </w:r>
      <w:r w:rsidR="005316F9" w:rsidRPr="007D4F6C">
        <w:t>)</w:t>
      </w:r>
      <w:r w:rsidR="00CE6497" w:rsidRPr="007D4F6C">
        <w:t>.</w:t>
      </w:r>
      <w:r w:rsidR="00620E77" w:rsidRPr="007D4F6C">
        <w:t xml:space="preserve"> Healthier</w:t>
      </w:r>
      <w:r w:rsidR="00620E77">
        <w:t xml:space="preserve"> older individuals could </w:t>
      </w:r>
      <w:r w:rsidR="00F567E0">
        <w:t xml:space="preserve">be better able to </w:t>
      </w:r>
      <w:r w:rsidR="00F567E0">
        <w:lastRenderedPageBreak/>
        <w:t xml:space="preserve">provide care to their spouses and </w:t>
      </w:r>
      <w:r w:rsidR="00620E77">
        <w:t xml:space="preserve">need less intergenerational care – thus </w:t>
      </w:r>
      <w:r w:rsidR="00F567E0">
        <w:t xml:space="preserve">also </w:t>
      </w:r>
      <w:r w:rsidR="00620E77">
        <w:t>contributing to the decline in care outside the household</w:t>
      </w:r>
      <w:r w:rsidR="00F567E0">
        <w:t>.</w:t>
      </w:r>
    </w:p>
    <w:p w14:paraId="4767BE41" w14:textId="5F071A1D"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w:t>
      </w:r>
      <w:r w:rsidR="00F73E65">
        <w:t xml:space="preserve">used for </w:t>
      </w:r>
      <w:r>
        <w:t xml:space="preserve">informal caregiving inside the household, </w:t>
      </w:r>
      <w:r w:rsidR="00DD5FFF">
        <w:t xml:space="preserve">which in SHARE is limited to personal care. This could under-estimate the prevalence of informal care inside the household. More central to the subject of our study is what this means </w:t>
      </w:r>
      <w:r w:rsidR="00284FC7">
        <w:t>for</w:t>
      </w:r>
      <w:r w:rsidR="00DD5FFF">
        <w:t xml:space="preserve"> the gender care gap. </w:t>
      </w:r>
      <w:r w:rsidR="0096766B">
        <w:t>On the latter</w:t>
      </w:r>
      <w:r w:rsidR="00F73E65">
        <w:t>,</w:t>
      </w:r>
      <w:r w:rsidR="0096766B">
        <w:t xml:space="preserve">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w:t>
      </w:r>
      <w:r w:rsidR="00624BE0" w:rsidRPr="006D56C2">
        <w:t>Rutherford &amp; Bu, 2017</w:t>
      </w:r>
      <w:r w:rsidR="00624BE0">
        <w:t xml:space="preserve">).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(Schmid</w:t>
      </w:r>
      <w:r w:rsidR="00BA7E5F">
        <w:rPr>
          <w:rFonts w:cstheme="minorHAnsi"/>
        </w:rPr>
        <w:t xml:space="preserve"> et al.</w:t>
      </w:r>
      <w:r w:rsidR="00E611E3">
        <w:rPr>
          <w:rFonts w:cstheme="minorHAnsi"/>
        </w:rPr>
        <w:t xml:space="preserve">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w:t>
      </w:r>
      <w:proofErr w:type="spellStart"/>
      <w:r w:rsidR="00671051">
        <w:t>Ilinca</w:t>
      </w:r>
      <w:proofErr w:type="spellEnd"/>
      <w:r w:rsidR="00671051">
        <w:t xml:space="preserve"> 2021). Nonetheless, our analytical strategy did differentiate between care inside and outside the household, therefore at least partially accounting for changes in care intensity</w:t>
      </w:r>
      <w:r w:rsidR="00BA7E5F">
        <w:t>,</w:t>
      </w:r>
      <w:r w:rsidR="00671051">
        <w:t xml:space="preserve"> as the former </w:t>
      </w:r>
      <w:r w:rsidR="0096766B">
        <w:t>involves providing a higher number of hours of care</w:t>
      </w:r>
      <w:r w:rsidR="00EE5AC9">
        <w:t>.</w:t>
      </w:r>
      <w:r w:rsidR="00E5582B">
        <w:t xml:space="preserve"> </w:t>
      </w:r>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 xml:space="preserve">minimize the impact of this non-response on the estimates. </w:t>
      </w:r>
      <w:r w:rsidR="00F72509">
        <w:lastRenderedPageBreak/>
        <w:t xml:space="preserve">Furthermore, non-responses </w:t>
      </w:r>
      <w:r w:rsidR="00F82B96">
        <w:t xml:space="preserve">do not </w:t>
      </w:r>
      <w:r w:rsidR="00F72509">
        <w:t>seem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r w:rsidR="0038473C">
        <w:t xml:space="preserve"> </w:t>
      </w:r>
    </w:p>
    <w:p w14:paraId="6B9E9268" w14:textId="2E81C20C" w:rsidR="00EE5AC9" w:rsidRDefault="00EE5AC9" w:rsidP="00EE5AC9">
      <w:pPr>
        <w:spacing w:line="480" w:lineRule="auto"/>
        <w:jc w:val="both"/>
      </w:pPr>
      <w:r>
        <w:t xml:space="preserve">These findings have important policy implications. The fall in the prevalence of informal caregiving among later born cohorts providing </w:t>
      </w:r>
      <w:r w:rsidRPr="000F7477">
        <w:t xml:space="preserve">care outside the </w:t>
      </w:r>
      <w:r w:rsidRPr="006D56C2">
        <w:t xml:space="preserve">household could indeed result in unmet needs among older people in need of care </w:t>
      </w:r>
      <w:r w:rsidR="001217CB" w:rsidRPr="006D56C2">
        <w:t>(</w:t>
      </w:r>
      <w:proofErr w:type="spellStart"/>
      <w:r w:rsidR="001217CB" w:rsidRPr="006D56C2">
        <w:t>Kalánková</w:t>
      </w:r>
      <w:proofErr w:type="spellEnd"/>
      <w:r w:rsidR="001217CB" w:rsidRPr="006D56C2">
        <w:t xml:space="preserve"> et al., 2021)</w:t>
      </w:r>
      <w:r w:rsidRPr="006D56C2">
        <w:t xml:space="preserve">. Available data do not allow us to reasonably speculate whether </w:t>
      </w:r>
      <w:r w:rsidR="00BA7E5F" w:rsidRPr="006D56C2">
        <w:t xml:space="preserve">these </w:t>
      </w:r>
      <w:r w:rsidR="00CE6497" w:rsidRPr="006D56C2">
        <w:t xml:space="preserve">reductions in the prevalence of informal </w:t>
      </w:r>
      <w:r w:rsidR="00BA7E5F" w:rsidRPr="006D56C2">
        <w:t xml:space="preserve">care outside the household </w:t>
      </w:r>
      <w:r w:rsidR="00CE6497" w:rsidRPr="006D56C2">
        <w:t xml:space="preserve">are </w:t>
      </w:r>
      <w:r w:rsidRPr="006D56C2">
        <w:t xml:space="preserve">being completely </w:t>
      </w:r>
      <w:r w:rsidR="00CE6497" w:rsidRPr="006D56C2">
        <w:t xml:space="preserve">offset </w:t>
      </w:r>
      <w:r w:rsidRPr="006D56C2">
        <w:t>by care inside the household</w:t>
      </w:r>
      <w:r w:rsidR="00CE6497" w:rsidRPr="006D56C2">
        <w:t xml:space="preserve"> or increased time devoted to care by fewer caregivers (Janus &amp; Doty 2018)</w:t>
      </w:r>
      <w:r w:rsidR="00522524" w:rsidRPr="006D56C2">
        <w:t>, even though care inside the household is on average of higher intensity already</w:t>
      </w:r>
      <w:r w:rsidR="00CE6497" w:rsidRPr="006D56C2">
        <w:t xml:space="preserve">. </w:t>
      </w:r>
      <w:r w:rsidRPr="006D56C2">
        <w:t xml:space="preserve">The </w:t>
      </w:r>
      <w:r w:rsidR="00F82B96">
        <w:t>increa</w:t>
      </w:r>
      <w:r w:rsidR="00F82B96" w:rsidRPr="006D56C2">
        <w:t xml:space="preserve">sing </w:t>
      </w:r>
      <w:r w:rsidRPr="006D56C2">
        <w:t xml:space="preserve">relevance of care inside the household however, entails different needs and risks in terms of care support, not least of all given the potential for adverse outcomes that is associated with co-residing care </w:t>
      </w:r>
      <w:r w:rsidR="00522524" w:rsidRPr="006D56C2">
        <w:t>(Schultz &amp; Beach 199</w:t>
      </w:r>
      <w:r w:rsidR="006D56C2" w:rsidRPr="006D56C2">
        <w:t>9</w:t>
      </w:r>
      <w:r w:rsidR="00522524" w:rsidRPr="006D56C2">
        <w:t xml:space="preserve"> Burton</w:t>
      </w:r>
      <w:r w:rsidR="006D56C2" w:rsidRPr="006D56C2">
        <w:t xml:space="preserve"> et al.</w:t>
      </w:r>
      <w:r w:rsidR="00522524" w:rsidRPr="006D56C2">
        <w:t xml:space="preserve"> 2003)</w:t>
      </w:r>
      <w:r w:rsidRPr="006D56C2">
        <w:t xml:space="preserve"> in a population that is</w:t>
      </w:r>
      <w:r w:rsidR="00CE6497" w:rsidRPr="006D56C2">
        <w:t xml:space="preserve"> itself becoming</w:t>
      </w:r>
      <w:r w:rsidRPr="006D56C2">
        <w:t xml:space="preserve"> older. </w:t>
      </w:r>
      <w:r w:rsidR="00CE6497" w:rsidRPr="006D56C2">
        <w:t>For example, a recent pan-European study found pervasive</w:t>
      </w:r>
      <w:r w:rsidR="00CE6497">
        <w:t xml:space="preserve"> gender differences in how spousal care is provided, with </w:t>
      </w:r>
      <w:r w:rsidR="00934C5F">
        <w:t>women much more likely to be solo-caregivers (</w:t>
      </w:r>
      <w:proofErr w:type="spellStart"/>
      <w:r w:rsidR="00934C5F" w:rsidRPr="006D56C2">
        <w:t>Bertogg</w:t>
      </w:r>
      <w:proofErr w:type="spellEnd"/>
      <w:r w:rsidR="00934C5F" w:rsidRPr="006D56C2">
        <w:t xml:space="preserve"> &amp; Strauss, 2020</w:t>
      </w:r>
      <w:r w:rsidR="00934C5F" w:rsidRPr="008755AA">
        <w:t xml:space="preserve">). </w:t>
      </w:r>
      <w:r w:rsidRPr="008755AA">
        <w:t xml:space="preserve">The permanence of the gender gap in caregiving </w:t>
      </w:r>
      <w:r w:rsidR="00E611E3" w:rsidRPr="008755AA">
        <w:t>questions the effectivenes</w:t>
      </w:r>
      <w:r w:rsidR="00E611E3">
        <w:t xml:space="preserve">s of </w:t>
      </w:r>
      <w:r>
        <w:t xml:space="preserve">policies aimed at achieving greater gender equality </w:t>
      </w:r>
      <w:r w:rsidR="00522524">
        <w:t xml:space="preserve">and seems to give credence to </w:t>
      </w:r>
      <w:proofErr w:type="spellStart"/>
      <w:r w:rsidR="00522524" w:rsidRPr="00522524">
        <w:t>Goldscheider</w:t>
      </w:r>
      <w:r w:rsidR="00522524">
        <w:t>’s</w:t>
      </w:r>
      <w:proofErr w:type="spellEnd"/>
      <w:r w:rsidR="00522524">
        <w:t xml:space="preserve"> (2000) proposition that the realm of unpaid work carried out at home would </w:t>
      </w:r>
      <w:r w:rsidR="00E611E3">
        <w:t>lag behind in terms of</w:t>
      </w:r>
      <w:r w:rsidR="00522524">
        <w:t xml:space="preserve"> gender parity</w:t>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288548F4" w:rsidR="0007683E" w:rsidRDefault="00BA7E5F" w:rsidP="001C3671">
      <w:pPr>
        <w:spacing w:line="480" w:lineRule="auto"/>
        <w:jc w:val="both"/>
      </w:pPr>
      <w:r>
        <w:t xml:space="preserve">This is the first study to shed light on the impact of a number of transformations on the gendered division of caregiving across different cohorts of older Europeans. It covers cohorts up to the early </w:t>
      </w:r>
      <w:r w:rsidR="00C66A6E">
        <w:t xml:space="preserve">baby-boomers, whose formative years were characterized by expansion of educational and employment opportunities for women and shifts in fertility regimes. Once </w:t>
      </w:r>
      <w:r w:rsidR="00A91C1B">
        <w:t xml:space="preserve">data on more </w:t>
      </w:r>
      <w:r w:rsidR="00C66A6E">
        <w:t xml:space="preserve">recent born cohorts </w:t>
      </w:r>
      <w:r w:rsidR="00A91C1B">
        <w:t xml:space="preserve">become </w:t>
      </w:r>
      <w:r w:rsidR="00C66A6E">
        <w:t>available, it will be interesting to see whether the permanence of gender roles that we have found among the cohorts included in this study will continue to hold.</w:t>
      </w: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r w:rsidRPr="00C86253">
        <w:rPr>
          <w:b/>
        </w:rPr>
        <w:lastRenderedPageBreak/>
        <w:t>References</w:t>
      </w:r>
    </w:p>
    <w:p w14:paraId="1D6A8C47" w14:textId="0E97CFF5"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7111A365" w14:textId="0E90CAF5" w:rsidR="00192123" w:rsidRDefault="00192123" w:rsidP="0007683E">
      <w:pPr>
        <w:spacing w:line="480" w:lineRule="auto"/>
        <w:ind w:left="567" w:hanging="567"/>
        <w:jc w:val="both"/>
      </w:pPr>
      <w:proofErr w:type="spellStart"/>
      <w:r w:rsidRPr="00192123">
        <w:t>Altintas</w:t>
      </w:r>
      <w:proofErr w:type="spellEnd"/>
      <w:r w:rsidRPr="00192123">
        <w:t xml:space="preserve">, </w:t>
      </w:r>
      <w:r>
        <w:t xml:space="preserve">E &amp; </w:t>
      </w:r>
      <w:r w:rsidRPr="00192123">
        <w:t>Sullivan</w:t>
      </w:r>
      <w:r>
        <w:t>, O. (2017).</w:t>
      </w:r>
      <w:r w:rsidRPr="00192123">
        <w:t xml:space="preserve"> Trends in Fathers’ Contribution to Housework and Childcare under Different Welfare Policy Regimes, </w:t>
      </w:r>
      <w:r w:rsidRPr="007D4F6C">
        <w:t>Social Politics</w:t>
      </w:r>
      <w:r>
        <w:t xml:space="preserve">, </w:t>
      </w:r>
      <w:r w:rsidRPr="00192123">
        <w:t>24</w:t>
      </w:r>
      <w:r>
        <w:t>(</w:t>
      </w:r>
      <w:r w:rsidRPr="00192123">
        <w:t>1</w:t>
      </w:r>
      <w:r>
        <w:t xml:space="preserve">): </w:t>
      </w:r>
      <w:r w:rsidRPr="00192123">
        <w:t>81–108, https://doi.org/10.1093/sp/jxw007</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R. (2014), A</w:t>
      </w:r>
      <w:r w:rsidR="00D06753">
        <w:t xml:space="preserve"> country for old-men? Long-term home care utilization in Europe, </w:t>
      </w:r>
      <w:r w:rsidRPr="00B866C3">
        <w:t>Health Econ</w:t>
      </w:r>
      <w:r w:rsidR="00D06753">
        <w:t>omics</w:t>
      </w:r>
      <w:r w:rsidRPr="00B866C3">
        <w:t xml:space="preserve">, 23: 1185– 1212, </w:t>
      </w:r>
      <w:proofErr w:type="spellStart"/>
      <w:r w:rsidRPr="00B866C3">
        <w:t>doi</w:t>
      </w:r>
      <w:proofErr w:type="spellEnd"/>
      <w:r w:rsidRPr="00B866C3">
        <w:t>: 10.1002/hec.2977</w:t>
      </w:r>
    </w:p>
    <w:p w14:paraId="2913DA2C" w14:textId="3D62BCFF" w:rsidR="006D56C2" w:rsidRDefault="006D56C2" w:rsidP="0007683E">
      <w:pPr>
        <w:spacing w:line="480" w:lineRule="auto"/>
        <w:ind w:left="567" w:hanging="567"/>
        <w:jc w:val="both"/>
        <w:rPr>
          <w:highlight w:val="yellow"/>
        </w:rPr>
      </w:pPr>
      <w:r>
        <w:t xml:space="preserve">Bernhardt, E., Noack, T., &amp; </w:t>
      </w:r>
      <w:proofErr w:type="spellStart"/>
      <w:r>
        <w:t>Hovde</w:t>
      </w:r>
      <w:proofErr w:type="spellEnd"/>
      <w:r>
        <w:t xml:space="preserve"> </w:t>
      </w:r>
      <w:proofErr w:type="spellStart"/>
      <w:r>
        <w:t>Lyngstad</w:t>
      </w:r>
      <w:proofErr w:type="spellEnd"/>
      <w:r>
        <w:t xml:space="preserve">, T. (2009). Shared housework in Norway and Sweden: Advancing the gender revolution. </w:t>
      </w:r>
      <w:r w:rsidRPr="006D56C2">
        <w:t>Journal of European Social Policy</w:t>
      </w:r>
      <w:r>
        <w:t xml:space="preserve">, 18, 275–288. </w:t>
      </w:r>
      <w:hyperlink r:id="rId8" w:history="1">
        <w:r>
          <w:rPr>
            <w:rStyle w:val="Hyperlink"/>
          </w:rPr>
          <w:t>https://doi.org/10.1177/0958928708091060</w:t>
        </w:r>
      </w:hyperlink>
    </w:p>
    <w:p w14:paraId="3E7461EE" w14:textId="1B18FFA3" w:rsidR="00762BB9" w:rsidRDefault="00762BB9" w:rsidP="0007683E">
      <w:pPr>
        <w:spacing w:line="480" w:lineRule="auto"/>
        <w:ind w:left="567" w:hanging="567"/>
        <w:jc w:val="both"/>
      </w:pPr>
      <w:proofErr w:type="spellStart"/>
      <w:r w:rsidRPr="00762BB9">
        <w:t>Bertogg</w:t>
      </w:r>
      <w:proofErr w:type="spellEnd"/>
      <w:r w:rsidRPr="00762BB9">
        <w:t>, A., &amp; Strauss, S. (2020). Spousal care-giving arrangements in Europe. The role of gender, socio-economic status and the welfare state. Ageing and Society, 40(4), 735-758. doi:10.1017/S0144686X18001320</w:t>
      </w:r>
    </w:p>
    <w:p w14:paraId="38E52F79" w14:textId="4EEE5DFD"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65842C45" w:rsidR="0007683E" w:rsidRPr="00984085" w:rsidRDefault="0007683E" w:rsidP="0007683E">
      <w:pPr>
        <w:spacing w:line="480" w:lineRule="auto"/>
        <w:ind w:left="567" w:hanging="567"/>
        <w:jc w:val="both"/>
      </w:pPr>
      <w:r w:rsidRPr="00984085">
        <w:lastRenderedPageBreak/>
        <w:t>Brown, S. L., &amp; Wright, M. R. (2017). Marriage, Cohabitation, and Divorce in Later Life. Innovation in aging, 1(2), igx015. https://doi.org/10.1093/geroni/igx015</w:t>
      </w:r>
    </w:p>
    <w:p w14:paraId="1AA34B1B" w14:textId="0A7AFC85" w:rsidR="000D6CD1" w:rsidRPr="00984085" w:rsidRDefault="000D6CD1" w:rsidP="0007683E">
      <w:pPr>
        <w:spacing w:line="480" w:lineRule="auto"/>
        <w:ind w:left="567" w:hanging="567"/>
        <w:jc w:val="both"/>
      </w:pPr>
      <w:r w:rsidRPr="00984085">
        <w:t>Burton, L. C., Zdaniuk, B., Schulz, R., Jackson, S., &amp; Hirsch, C. (2003). Transitions in spousal caregiving. The Gerontologist, 43(2), 230–241. https://doi.org/10.1093/geront/43.2.230</w:t>
      </w:r>
    </w:p>
    <w:p w14:paraId="7E9BA972" w14:textId="77777777" w:rsidR="0007683E" w:rsidRPr="00984085" w:rsidRDefault="0007683E" w:rsidP="0007683E">
      <w:pPr>
        <w:spacing w:line="480" w:lineRule="auto"/>
        <w:ind w:left="567" w:hanging="567"/>
        <w:jc w:val="both"/>
      </w:pPr>
      <w:r w:rsidRPr="00984085">
        <w:rPr>
          <w:lang w:val="fr-CA"/>
        </w:rPr>
        <w:t xml:space="preserve">Carmichael, F., Charles, S., &amp; </w:t>
      </w:r>
      <w:proofErr w:type="spellStart"/>
      <w:r w:rsidRPr="00984085">
        <w:rPr>
          <w:lang w:val="fr-CA"/>
        </w:rPr>
        <w:t>Hulme</w:t>
      </w:r>
      <w:proofErr w:type="spellEnd"/>
      <w:r w:rsidRPr="00984085">
        <w:rPr>
          <w:lang w:val="fr-CA"/>
        </w:rPr>
        <w:t xml:space="preserve">, C. (2010). </w:t>
      </w:r>
      <w:r w:rsidRPr="00984085">
        <w:t>Who will care? Employment participation and willingness to supply informal care. Journal of health economics, 29(1), 182–190. https://doi.org/10.1016/j.jhealeco.2009.11.003</w:t>
      </w:r>
    </w:p>
    <w:p w14:paraId="55F93EE8" w14:textId="77777777" w:rsidR="0007683E" w:rsidRPr="00984085" w:rsidRDefault="0007683E" w:rsidP="0007683E">
      <w:pPr>
        <w:spacing w:line="480" w:lineRule="auto"/>
        <w:ind w:left="567" w:hanging="567"/>
        <w:jc w:val="both"/>
      </w:pPr>
      <w:r w:rsidRPr="00984085">
        <w:t xml:space="preserve">Dahlberg, L., </w:t>
      </w:r>
      <w:proofErr w:type="spellStart"/>
      <w:r w:rsidRPr="00984085">
        <w:t>Demack</w:t>
      </w:r>
      <w:proofErr w:type="spellEnd"/>
      <w:r w:rsidRPr="00984085">
        <w:t xml:space="preserve">, S., &amp; </w:t>
      </w:r>
      <w:proofErr w:type="spellStart"/>
      <w:r w:rsidRPr="00984085">
        <w:t>Bambra</w:t>
      </w:r>
      <w:proofErr w:type="spellEnd"/>
      <w:r w:rsidRPr="00984085">
        <w:t>, C. (2007). Age and gender of informal carers: a population-based study in the UK. Health &amp; social care in the community, 15(5), 439–445. https://doi.org/10.1111/j.1365-2524.2007.00702.x</w:t>
      </w:r>
    </w:p>
    <w:p w14:paraId="55EF36A0" w14:textId="1E10D705" w:rsidR="0007683E" w:rsidRPr="00984085" w:rsidRDefault="0007683E" w:rsidP="0007683E">
      <w:pPr>
        <w:spacing w:line="480" w:lineRule="auto"/>
        <w:ind w:left="567" w:hanging="567"/>
        <w:jc w:val="both"/>
      </w:pPr>
      <w:proofErr w:type="spellStart"/>
      <w:r w:rsidRPr="00984085">
        <w:t>Earles</w:t>
      </w:r>
      <w:proofErr w:type="spellEnd"/>
      <w:r w:rsidRPr="00984085">
        <w:t>, K. (2011)</w:t>
      </w:r>
      <w:r w:rsidR="00192123" w:rsidRPr="00984085">
        <w:t>.</w:t>
      </w:r>
      <w:r w:rsidRPr="00984085">
        <w:t xml:space="preserve"> Swedish Family Policy – Continuity and Change in the Nordic Welfare State Model. Social Policy &amp; Administration, 45: 180-193. </w:t>
      </w:r>
      <w:hyperlink r:id="rId9" w:history="1">
        <w:r w:rsidR="00192123" w:rsidRPr="00984085">
          <w:rPr>
            <w:rStyle w:val="Hyperlink"/>
          </w:rPr>
          <w:t>https://doi.org/10.1111/j.1467-9515.2010.00763.x</w:t>
        </w:r>
      </w:hyperlink>
    </w:p>
    <w:p w14:paraId="7CA19994" w14:textId="3A55CBE3" w:rsidR="000D6CD1" w:rsidRPr="00984085" w:rsidRDefault="000D6CD1" w:rsidP="00186F81">
      <w:pPr>
        <w:spacing w:line="480" w:lineRule="auto"/>
        <w:ind w:left="567" w:hanging="567"/>
        <w:jc w:val="both"/>
      </w:pPr>
      <w:r w:rsidRPr="00984085">
        <w:t xml:space="preserve">Eurobarometer (2007). </w:t>
      </w:r>
      <w:r w:rsidR="006D56C2" w:rsidRPr="00984085">
        <w:t>Health and long-term care in the European Union. Special Eurobarometer 283 / Wave 67.3</w:t>
      </w:r>
      <w:r w:rsidRPr="00984085">
        <w:t>, European Commission</w:t>
      </w:r>
      <w:r w:rsidR="00984085">
        <w:t>, Brussels</w:t>
      </w:r>
      <w:r w:rsidRPr="00984085">
        <w:t>.</w:t>
      </w:r>
    </w:p>
    <w:p w14:paraId="24ECF162" w14:textId="6C9A75AF" w:rsidR="00186F81" w:rsidRPr="00984085" w:rsidRDefault="00186F81" w:rsidP="00186F81">
      <w:pPr>
        <w:spacing w:line="480" w:lineRule="auto"/>
        <w:ind w:left="567" w:hanging="567"/>
        <w:jc w:val="both"/>
      </w:pPr>
      <w:proofErr w:type="spellStart"/>
      <w:r w:rsidRPr="00984085">
        <w:t>Evertsson</w:t>
      </w:r>
      <w:proofErr w:type="spellEnd"/>
      <w:r w:rsidRPr="00984085">
        <w:t xml:space="preserve">, M., &amp; </w:t>
      </w:r>
      <w:proofErr w:type="spellStart"/>
      <w:r w:rsidRPr="00984085">
        <w:t>Nermo</w:t>
      </w:r>
      <w:proofErr w:type="spellEnd"/>
      <w:r w:rsidRPr="00984085">
        <w:t>, M. (2007). Changing resources and the division of housework: A longitudinal study of Swedish couples. European Sociological Review, 23, 455–470.</w:t>
      </w:r>
    </w:p>
    <w:p w14:paraId="16C5C324" w14:textId="12F06134" w:rsidR="00186F81" w:rsidRPr="00984085" w:rsidRDefault="00186F81" w:rsidP="0007683E">
      <w:pPr>
        <w:spacing w:line="480" w:lineRule="auto"/>
        <w:ind w:left="567" w:hanging="567"/>
        <w:jc w:val="both"/>
      </w:pPr>
      <w:r w:rsidRPr="00984085">
        <w:t xml:space="preserve">Falk, H., Johansson, L., </w:t>
      </w:r>
      <w:proofErr w:type="spellStart"/>
      <w:r w:rsidRPr="00984085">
        <w:t>Östling</w:t>
      </w:r>
      <w:proofErr w:type="spellEnd"/>
      <w:r w:rsidRPr="00984085">
        <w:t xml:space="preserve">, S., </w:t>
      </w:r>
      <w:proofErr w:type="spellStart"/>
      <w:r w:rsidRPr="00984085">
        <w:t>Thøgersen</w:t>
      </w:r>
      <w:proofErr w:type="spellEnd"/>
      <w:r w:rsidRPr="00984085">
        <w:t xml:space="preserve"> </w:t>
      </w:r>
      <w:proofErr w:type="spellStart"/>
      <w:r w:rsidRPr="00984085">
        <w:t>Agerholm</w:t>
      </w:r>
      <w:proofErr w:type="spellEnd"/>
      <w:r w:rsidRPr="00984085">
        <w:t xml:space="preserve">, K., </w:t>
      </w:r>
      <w:proofErr w:type="spellStart"/>
      <w:r w:rsidRPr="00984085">
        <w:t>Staun</w:t>
      </w:r>
      <w:proofErr w:type="spellEnd"/>
      <w:r w:rsidRPr="00984085">
        <w:t xml:space="preserve">, M., </w:t>
      </w:r>
      <w:proofErr w:type="spellStart"/>
      <w:r w:rsidRPr="00984085">
        <w:t>Høst</w:t>
      </w:r>
      <w:proofErr w:type="spellEnd"/>
      <w:r w:rsidRPr="00984085">
        <w:t xml:space="preserve"> </w:t>
      </w:r>
      <w:proofErr w:type="spellStart"/>
      <w:r w:rsidRPr="00984085">
        <w:t>Dørfinger</w:t>
      </w:r>
      <w:proofErr w:type="spellEnd"/>
      <w:r w:rsidRPr="00984085">
        <w:t>, L., (2014). Functional disability and ability 75-year-olds: a comparison of two Swedish cohorts born 30 years apart. Age Ageing, 43(5): 636–641.</w:t>
      </w:r>
    </w:p>
    <w:p w14:paraId="178D1CB4" w14:textId="7821B45C" w:rsidR="000D6CD1" w:rsidRPr="00984085" w:rsidRDefault="000D6CD1" w:rsidP="0007683E">
      <w:pPr>
        <w:spacing w:line="480" w:lineRule="auto"/>
        <w:ind w:left="567" w:hanging="567"/>
        <w:jc w:val="both"/>
      </w:pPr>
      <w:r w:rsidRPr="00984085">
        <w:t xml:space="preserve">Fischer, B., &amp; Müller, K. (2020). Time to care? The effects of retirement on informal care provision. Journal of Health Economics, 73. </w:t>
      </w:r>
      <w:proofErr w:type="spellStart"/>
      <w:r w:rsidRPr="00984085">
        <w:t>doi</w:t>
      </w:r>
      <w:proofErr w:type="spellEnd"/>
      <w:r w:rsidRPr="00984085">
        <w:t>: org/10.1016/j.jhealeco.2020.102350</w:t>
      </w:r>
    </w:p>
    <w:p w14:paraId="161E9D80" w14:textId="124FB987" w:rsidR="00192123" w:rsidRPr="00984085" w:rsidRDefault="00192123" w:rsidP="0007683E">
      <w:pPr>
        <w:spacing w:line="480" w:lineRule="auto"/>
        <w:ind w:left="567" w:hanging="567"/>
        <w:jc w:val="both"/>
      </w:pPr>
      <w:proofErr w:type="spellStart"/>
      <w:r w:rsidRPr="00984085">
        <w:t>Goldscheider</w:t>
      </w:r>
      <w:proofErr w:type="spellEnd"/>
      <w:r w:rsidRPr="00984085">
        <w:t xml:space="preserve">, F. K. (2000). Men, children and the future of the family in the third millennium. Futures, 32(6), 525-538. </w:t>
      </w:r>
      <w:proofErr w:type="spellStart"/>
      <w:r w:rsidRPr="00984085">
        <w:t>doi</w:t>
      </w:r>
      <w:proofErr w:type="spellEnd"/>
      <w:r w:rsidRPr="00984085">
        <w:t>: 10.1016/S0016-3287(00)00005-7</w:t>
      </w:r>
    </w:p>
    <w:p w14:paraId="5053F735" w14:textId="492AFE6C" w:rsidR="0007683E" w:rsidRPr="00984085" w:rsidRDefault="0007683E" w:rsidP="0007683E">
      <w:pPr>
        <w:spacing w:line="480" w:lineRule="auto"/>
        <w:ind w:left="567" w:hanging="567"/>
        <w:jc w:val="both"/>
        <w:rPr>
          <w:lang w:val="en-US"/>
        </w:rPr>
      </w:pPr>
      <w:r w:rsidRPr="00984085">
        <w:lastRenderedPageBreak/>
        <w:t xml:space="preserve">Hammer, E., &amp; </w:t>
      </w:r>
      <w:proofErr w:type="spellStart"/>
      <w:r w:rsidRPr="00984085">
        <w:rPr>
          <w:rFonts w:cstheme="minorHAnsi"/>
        </w:rPr>
        <w:t>Ö</w:t>
      </w:r>
      <w:r w:rsidRPr="00984085">
        <w:t>sterle</w:t>
      </w:r>
      <w:proofErr w:type="spellEnd"/>
      <w:r w:rsidRPr="00984085">
        <w:t xml:space="preserve">, A. (2003). Welfare State Policy and Informal Long-Term Care Giving in Austria: Old Gender Divisions and New Stratification Processes Among Women. </w:t>
      </w:r>
      <w:r w:rsidRPr="00984085">
        <w:rPr>
          <w:lang w:val="en-US"/>
        </w:rPr>
        <w:t>Journal of Social Policy, 32(1), 37-53. doi:10.1017/S0047279402006888</w:t>
      </w:r>
    </w:p>
    <w:p w14:paraId="116F4B7B" w14:textId="150826D7" w:rsidR="00192123" w:rsidRPr="00984085" w:rsidRDefault="00192123" w:rsidP="0007683E">
      <w:pPr>
        <w:spacing w:line="480" w:lineRule="auto"/>
        <w:ind w:left="567" w:hanging="567"/>
        <w:jc w:val="both"/>
        <w:rPr>
          <w:lang w:val="en-US"/>
        </w:rPr>
      </w:pPr>
      <w:r w:rsidRPr="00984085">
        <w:rPr>
          <w:lang w:val="en-US"/>
        </w:rPr>
        <w:t>He, D. &amp; McHenry, P. (2016)</w:t>
      </w:r>
      <w:r w:rsidR="004D61F1" w:rsidRPr="00984085">
        <w:rPr>
          <w:lang w:val="en-US"/>
        </w:rPr>
        <w:t>.</w:t>
      </w:r>
      <w:r w:rsidRPr="00984085">
        <w:rPr>
          <w:lang w:val="en-US"/>
        </w:rPr>
        <w:t xml:space="preserve"> Does Formal Employment Reduce Informal Caregiving? Health Economics, 25: 829– 843. https://doi.org/10.1002/hec.3185.</w:t>
      </w:r>
    </w:p>
    <w:p w14:paraId="60A91126" w14:textId="07DFE704" w:rsidR="0007683E" w:rsidRPr="00984085" w:rsidRDefault="0007683E" w:rsidP="0007683E">
      <w:pPr>
        <w:spacing w:line="480" w:lineRule="auto"/>
        <w:ind w:left="567" w:hanging="567"/>
        <w:jc w:val="both"/>
      </w:pPr>
      <w:proofErr w:type="spellStart"/>
      <w:r w:rsidRPr="00984085">
        <w:t>Heitmueller</w:t>
      </w:r>
      <w:proofErr w:type="spellEnd"/>
      <w:r w:rsidRPr="00984085">
        <w:t>, A. (2007). “The Chicken or the Egg? Endogeneity in Labour Market Participation of Informal Carers in England.” Journal of Health Economics 26(3): 536–59.</w:t>
      </w:r>
    </w:p>
    <w:p w14:paraId="33AE2A71" w14:textId="22608D4F" w:rsidR="004D61F1" w:rsidRPr="00984085" w:rsidRDefault="004D61F1" w:rsidP="0007683E">
      <w:pPr>
        <w:spacing w:line="480" w:lineRule="auto"/>
        <w:ind w:left="567" w:hanging="567"/>
        <w:jc w:val="both"/>
      </w:pPr>
      <w:r w:rsidRPr="00984085">
        <w:rPr>
          <w:rStyle w:val="mixed-citation"/>
        </w:rPr>
        <w:t xml:space="preserve">Human Mortality Database (2015) University of California, Berkeley and Max Planck Institute for Demographic Research, Rostock. </w:t>
      </w:r>
      <w:hyperlink r:id="rId10" w:tgtFrame="_blank" w:history="1">
        <w:r w:rsidRPr="00984085">
          <w:rPr>
            <w:rStyle w:val="Hyperlink"/>
          </w:rPr>
          <w:t>http://www.mortality.org</w:t>
        </w:r>
      </w:hyperlink>
      <w:r w:rsidRPr="00984085">
        <w:rPr>
          <w:rStyle w:val="mixed-citation"/>
        </w:rPr>
        <w:t>. Accessed May 2021</w:t>
      </w:r>
    </w:p>
    <w:p w14:paraId="4EED6223" w14:textId="6D33445F" w:rsidR="000D6CD1" w:rsidRPr="00984085" w:rsidRDefault="000D6CD1" w:rsidP="0007683E">
      <w:pPr>
        <w:spacing w:line="480" w:lineRule="auto"/>
        <w:ind w:left="567" w:hanging="567"/>
        <w:jc w:val="both"/>
        <w:rPr>
          <w:lang w:val="en-CA"/>
        </w:rPr>
      </w:pPr>
      <w:r w:rsidRPr="00BC788B">
        <w:rPr>
          <w:lang w:val="en-CA"/>
        </w:rPr>
        <w:t xml:space="preserve">Janus, A. L., &amp; Doty, P. (2018). </w:t>
      </w:r>
      <w:r w:rsidRPr="00984085">
        <w:rPr>
          <w:lang w:val="en-CA"/>
        </w:rPr>
        <w:t>Trends in Informal Care for Disabled Older Americans, 1982-2012. The Gerontologist, 58(5), 863–871. https://doi.org/10.1093/geront/gnx076</w:t>
      </w:r>
    </w:p>
    <w:p w14:paraId="5103B798" w14:textId="7F67DF45" w:rsidR="0007683E" w:rsidRPr="00984085" w:rsidRDefault="0007683E" w:rsidP="0007683E">
      <w:pPr>
        <w:spacing w:line="480" w:lineRule="auto"/>
        <w:ind w:left="567" w:hanging="567"/>
        <w:jc w:val="both"/>
      </w:pPr>
      <w:r w:rsidRPr="00984085">
        <w:rPr>
          <w:lang w:val="de-AT"/>
        </w:rPr>
        <w:t xml:space="preserve">Kahn, J. R., McGill, B. S., &amp; Bianchi, S. M. (2011). </w:t>
      </w:r>
      <w:r w:rsidRPr="00984085">
        <w:t xml:space="preserve">Help to Family and Friends: Are There Gender Differences at Older </w:t>
      </w:r>
      <w:proofErr w:type="gramStart"/>
      <w:r w:rsidRPr="00984085">
        <w:t>Ages?.</w:t>
      </w:r>
      <w:proofErr w:type="gramEnd"/>
      <w:r w:rsidRPr="00984085">
        <w:t xml:space="preserve"> Journal of marriage and the family, 73(1), 77–92. https://doi.org/10.1111/j.1741-3737.2010.00790.x</w:t>
      </w:r>
    </w:p>
    <w:p w14:paraId="46E78178" w14:textId="640FA64B" w:rsidR="000D6CD1" w:rsidRPr="00984085" w:rsidRDefault="000D6CD1" w:rsidP="0007683E">
      <w:pPr>
        <w:spacing w:line="480" w:lineRule="auto"/>
        <w:ind w:left="567" w:hanging="567"/>
        <w:jc w:val="both"/>
      </w:pPr>
      <w:proofErr w:type="spellStart"/>
      <w:r w:rsidRPr="00984085">
        <w:t>Kalánková</w:t>
      </w:r>
      <w:proofErr w:type="spellEnd"/>
      <w:r w:rsidRPr="00984085">
        <w:t xml:space="preserve">, D., </w:t>
      </w:r>
      <w:proofErr w:type="spellStart"/>
      <w:r w:rsidRPr="00984085">
        <w:t>Stolt</w:t>
      </w:r>
      <w:proofErr w:type="spellEnd"/>
      <w:r w:rsidRPr="00984085">
        <w:t xml:space="preserve">, M., Scott, P. A., Papastavrou, E., &amp; </w:t>
      </w:r>
      <w:proofErr w:type="spellStart"/>
      <w:r w:rsidRPr="00984085">
        <w:t>Suhonen</w:t>
      </w:r>
      <w:proofErr w:type="spellEnd"/>
      <w:r w:rsidRPr="00984085">
        <w:t>, R. (2021). Unmet care needs of older people: A scoping review. Nursing Ethics, 28(2), 149–178. https://doi.org/10.1177/0969733020948112</w:t>
      </w:r>
    </w:p>
    <w:p w14:paraId="16A7256D" w14:textId="3B748F37" w:rsidR="0007683E" w:rsidRPr="00984085" w:rsidRDefault="0007683E" w:rsidP="0007683E">
      <w:pPr>
        <w:spacing w:line="480" w:lineRule="auto"/>
        <w:ind w:left="567" w:hanging="567"/>
        <w:jc w:val="both"/>
      </w:pPr>
      <w:r w:rsidRPr="00984085">
        <w:t>Knight, C.R.  &amp; Brinton M.C. (2017) One Egalitarianism or Several? Two Decades of Gender-Role Attitude Change in Europe. American Journal of Sociology, 122(5), 1485- 1532. https://doi.org/10.1086/689814</w:t>
      </w:r>
    </w:p>
    <w:p w14:paraId="01A6F971" w14:textId="4BD8E117" w:rsidR="000D6CD1" w:rsidRPr="00984085" w:rsidRDefault="000D6CD1" w:rsidP="0007683E">
      <w:pPr>
        <w:spacing w:line="480" w:lineRule="auto"/>
        <w:ind w:left="567" w:hanging="567"/>
        <w:jc w:val="both"/>
      </w:pPr>
      <w:proofErr w:type="spellStart"/>
      <w:r w:rsidRPr="00984085">
        <w:t>Koslowski</w:t>
      </w:r>
      <w:proofErr w:type="spellEnd"/>
      <w:r w:rsidRPr="00984085">
        <w:t xml:space="preserve">, A. (2011). Working Fathers in Europe: Earning and Caring. European Sociological Review, 27, 230–245. </w:t>
      </w:r>
      <w:proofErr w:type="spellStart"/>
      <w:r w:rsidRPr="00984085">
        <w:t>doi:org</w:t>
      </w:r>
      <w:proofErr w:type="spellEnd"/>
      <w:r w:rsidRPr="00984085">
        <w:t>/10.1093/</w:t>
      </w:r>
      <w:proofErr w:type="spellStart"/>
      <w:r w:rsidRPr="00984085">
        <w:t>esr</w:t>
      </w:r>
      <w:proofErr w:type="spellEnd"/>
      <w:r w:rsidRPr="00984085">
        <w:t>/jcq004</w:t>
      </w:r>
    </w:p>
    <w:p w14:paraId="5CA308AF" w14:textId="10A0104F" w:rsidR="000D6CD1" w:rsidRPr="00984085" w:rsidRDefault="000D6CD1" w:rsidP="0007683E">
      <w:pPr>
        <w:spacing w:line="480" w:lineRule="auto"/>
        <w:ind w:left="567" w:hanging="567"/>
        <w:jc w:val="both"/>
      </w:pPr>
      <w:r w:rsidRPr="00984085">
        <w:lastRenderedPageBreak/>
        <w:t xml:space="preserve">Le </w:t>
      </w:r>
      <w:proofErr w:type="spellStart"/>
      <w:r w:rsidRPr="00984085">
        <w:t>Bihan</w:t>
      </w:r>
      <w:proofErr w:type="spellEnd"/>
      <w:r w:rsidRPr="00984085">
        <w:t xml:space="preserve">, B., Da </w:t>
      </w:r>
      <w:proofErr w:type="spellStart"/>
      <w:r w:rsidRPr="00984085">
        <w:t>Roit</w:t>
      </w:r>
      <w:proofErr w:type="spellEnd"/>
      <w:r w:rsidRPr="00984085">
        <w:t xml:space="preserve">, B., &amp; </w:t>
      </w:r>
      <w:proofErr w:type="spellStart"/>
      <w:r w:rsidRPr="00984085">
        <w:t>Sopadzhiyan</w:t>
      </w:r>
      <w:proofErr w:type="spellEnd"/>
      <w:r w:rsidRPr="00984085">
        <w:t xml:space="preserve">, A. (2019). The turn to optional </w:t>
      </w:r>
      <w:proofErr w:type="spellStart"/>
      <w:r w:rsidRPr="00984085">
        <w:t>familialism</w:t>
      </w:r>
      <w:proofErr w:type="spellEnd"/>
      <w:r w:rsidRPr="00984085">
        <w:t xml:space="preserve"> through the market: Long-term care, cash-for-care, and caregiving policies in Europe. Social Policy &amp; Administration, 53(4), 579–595. </w:t>
      </w:r>
      <w:proofErr w:type="spellStart"/>
      <w:r w:rsidRPr="00984085">
        <w:t>doi:org</w:t>
      </w:r>
      <w:proofErr w:type="spellEnd"/>
      <w:r w:rsidRPr="00984085">
        <w:t>/10.1111/spol.12505</w:t>
      </w:r>
    </w:p>
    <w:p w14:paraId="45FCA93D" w14:textId="67C71CA6" w:rsidR="0007683E" w:rsidRPr="00984085" w:rsidRDefault="0007683E" w:rsidP="0007683E">
      <w:pPr>
        <w:spacing w:line="480" w:lineRule="auto"/>
        <w:ind w:left="567" w:hanging="567"/>
        <w:jc w:val="both"/>
      </w:pPr>
      <w:r w:rsidRPr="00984085">
        <w:t xml:space="preserve">Leitner, S. (2003) Varieties of </w:t>
      </w:r>
      <w:proofErr w:type="spellStart"/>
      <w:r w:rsidRPr="00984085">
        <w:t>familialism</w:t>
      </w:r>
      <w:proofErr w:type="spellEnd"/>
      <w:r w:rsidRPr="00984085">
        <w:t>: The caring function of the family in comparative perspective, European Societies, 5:4, 353-375, DOI: 10.1080/1461669032000127642</w:t>
      </w:r>
    </w:p>
    <w:p w14:paraId="7492451B" w14:textId="1B76F696" w:rsidR="006133D4" w:rsidRPr="00984085" w:rsidRDefault="006133D4" w:rsidP="006133D4">
      <w:pPr>
        <w:spacing w:line="480" w:lineRule="auto"/>
        <w:ind w:left="567" w:hanging="567"/>
        <w:jc w:val="both"/>
      </w:pPr>
      <w:proofErr w:type="spellStart"/>
      <w:r w:rsidRPr="00984085">
        <w:t>Mentzakis</w:t>
      </w:r>
      <w:proofErr w:type="spellEnd"/>
      <w:r w:rsidRPr="00984085">
        <w:t>, E., McNamee</w:t>
      </w:r>
      <w:r w:rsidR="000D6CD1" w:rsidRPr="00984085">
        <w:t>, P., &amp;</w:t>
      </w:r>
      <w:r w:rsidRPr="00984085">
        <w:t xml:space="preserve"> Ryan </w:t>
      </w:r>
      <w:r w:rsidR="000D6CD1" w:rsidRPr="00984085">
        <w:t xml:space="preserve">M. </w:t>
      </w:r>
      <w:r w:rsidRPr="00984085">
        <w:t>(2009). ‘Who cares and how much: Exploring the determinants of co-residential informal care’, Review of Economics of the Household, 7(3), 283-303.</w:t>
      </w:r>
      <w:r w:rsidR="000D6CD1" w:rsidRPr="00984085">
        <w:rPr>
          <w:lang w:val="en-CA"/>
        </w:rPr>
        <w:t xml:space="preserve"> https://doi.org/10.1007/s11150-008-9047-0</w:t>
      </w:r>
    </w:p>
    <w:p w14:paraId="6BAEB684" w14:textId="16B55BF6" w:rsidR="00186F81" w:rsidRPr="00984085" w:rsidRDefault="00186F81" w:rsidP="0007683E">
      <w:pPr>
        <w:spacing w:line="480" w:lineRule="auto"/>
        <w:ind w:left="567" w:hanging="567"/>
        <w:jc w:val="both"/>
      </w:pPr>
      <w:proofErr w:type="spellStart"/>
      <w:r w:rsidRPr="00984085">
        <w:t>Morciano</w:t>
      </w:r>
      <w:proofErr w:type="spellEnd"/>
      <w:r w:rsidRPr="00984085">
        <w:t xml:space="preserve">, M., Hancock, R.M., </w:t>
      </w:r>
      <w:proofErr w:type="spellStart"/>
      <w:r w:rsidRPr="00984085">
        <w:t>Pudney</w:t>
      </w:r>
      <w:proofErr w:type="spellEnd"/>
      <w:r w:rsidRPr="00984085">
        <w:t>, S.E. (2015). Birth-cohort trends in older-age functional disability and their relationship with socio-economic status: evidence from a pooling of repeated cross-sectional population-based studies for the UK. Social Science and Medicine, 136: 1–9.</w:t>
      </w:r>
    </w:p>
    <w:p w14:paraId="49CC9E32" w14:textId="77777777" w:rsidR="0007683E" w:rsidRPr="00984085" w:rsidRDefault="0007683E" w:rsidP="0007683E">
      <w:pPr>
        <w:spacing w:line="480" w:lineRule="auto"/>
        <w:ind w:left="567" w:hanging="567"/>
        <w:jc w:val="both"/>
      </w:pPr>
      <w:r w:rsidRPr="00984085">
        <w:t>OECD (2011a), “Informal carers”, in Health at a Glance 2011: OECD Indicators, OECD Publishing, Paris. DOI: https://doi.org/10.1787/health_glance-2011-70-en</w:t>
      </w:r>
    </w:p>
    <w:p w14:paraId="49DDC904" w14:textId="2EED4361" w:rsidR="0007683E" w:rsidRPr="00984085" w:rsidRDefault="0007683E" w:rsidP="0007683E">
      <w:pPr>
        <w:spacing w:line="480" w:lineRule="auto"/>
        <w:ind w:left="567" w:hanging="567"/>
        <w:jc w:val="both"/>
      </w:pPr>
      <w:r w:rsidRPr="00984085">
        <w:t xml:space="preserve">OECD (2011b), "Families are changing", in Doing Better for Families, OECD Publishing, Paris, </w:t>
      </w:r>
      <w:hyperlink r:id="rId11" w:history="1">
        <w:r w:rsidR="00C913D2" w:rsidRPr="00984085">
          <w:rPr>
            <w:rStyle w:val="Hyperlink"/>
          </w:rPr>
          <w:t>https://doi.org/10.1787/9789264098732-3-en</w:t>
        </w:r>
      </w:hyperlink>
      <w:r w:rsidRPr="00984085">
        <w:t>.</w:t>
      </w:r>
    </w:p>
    <w:p w14:paraId="7A1776A8" w14:textId="0E4249C0" w:rsidR="00C913D2" w:rsidRPr="00984085" w:rsidRDefault="00C913D2" w:rsidP="0007683E">
      <w:pPr>
        <w:spacing w:line="480" w:lineRule="auto"/>
        <w:ind w:left="567" w:hanging="567"/>
        <w:jc w:val="both"/>
      </w:pPr>
      <w:r w:rsidRPr="00984085">
        <w:t>OECD. (2012). “Closing the gender gap”. OECD Publishing, Paris. https://doi.org/10.1787/9789264179370-en</w:t>
      </w:r>
    </w:p>
    <w:p w14:paraId="5C758B06" w14:textId="77777777" w:rsidR="0007683E" w:rsidRPr="00984085" w:rsidRDefault="0007683E" w:rsidP="0007683E">
      <w:pPr>
        <w:spacing w:line="480" w:lineRule="auto"/>
        <w:ind w:left="567" w:hanging="567"/>
        <w:jc w:val="both"/>
      </w:pPr>
      <w:r w:rsidRPr="00984085">
        <w:rPr>
          <w:lang w:val="de-AT"/>
        </w:rPr>
        <w:t xml:space="preserve">Rodrigues, R., Schulmann, K., Schmidt, A., Kalavrezou, N., &amp; Matsaganis. </w:t>
      </w:r>
      <w:r w:rsidRPr="00984085">
        <w:t>M. (2013), The indirect costs of long-term care. Brussels, DG Employment, Social Affairs &amp; Inclusion (Research note 8).</w:t>
      </w:r>
    </w:p>
    <w:p w14:paraId="5B29E5FA" w14:textId="012FB395" w:rsidR="000D6CD1" w:rsidRPr="00984085" w:rsidRDefault="000D6CD1" w:rsidP="0007683E">
      <w:pPr>
        <w:spacing w:line="480" w:lineRule="auto"/>
        <w:ind w:left="567" w:hanging="567"/>
        <w:jc w:val="both"/>
      </w:pPr>
      <w:r w:rsidRPr="00984085">
        <w:t>Rutherford, A., &amp; Bu, F. (2018). Issues with the measurement of informal care in social surveys: Evidence from the English Longitudinal Study of Ageing. Ageing and Society, 38(12), 2541-2559. doi:10.1017/S0144686X17000757</w:t>
      </w:r>
    </w:p>
    <w:p w14:paraId="24634697" w14:textId="4CFB2E3E" w:rsidR="0007683E" w:rsidRPr="00984085" w:rsidRDefault="0007683E" w:rsidP="0007683E">
      <w:pPr>
        <w:spacing w:line="480" w:lineRule="auto"/>
        <w:ind w:left="567" w:hanging="567"/>
        <w:jc w:val="both"/>
      </w:pPr>
      <w:r w:rsidRPr="00984085">
        <w:lastRenderedPageBreak/>
        <w:t>Patterson, S. E., &amp; Margolis, R. (2019). The Demography of Multigenerational Caregiving: A Critical Aspect of the Gendered Life Course. Socius. https://doi.org/10.1177/2378023119862737</w:t>
      </w:r>
    </w:p>
    <w:p w14:paraId="4CCA7FC2" w14:textId="77777777" w:rsidR="0007683E" w:rsidRPr="00984085" w:rsidRDefault="0007683E" w:rsidP="0007683E">
      <w:pPr>
        <w:spacing w:line="480" w:lineRule="auto"/>
        <w:ind w:left="567" w:hanging="567"/>
        <w:jc w:val="both"/>
      </w:pPr>
      <w:r w:rsidRPr="00984085">
        <w:t>Penning M. J., Wu Z. (2016). Caregiver stress and mental health: Impact of caregiving relationship and gender. The Gerontologist, 56, 1102–1113. doi:10.1093/</w:t>
      </w:r>
      <w:proofErr w:type="spellStart"/>
      <w:r w:rsidRPr="00984085">
        <w:t>geront</w:t>
      </w:r>
      <w:proofErr w:type="spellEnd"/>
      <w:r w:rsidRPr="00984085">
        <w:t>/gnv038</w:t>
      </w:r>
    </w:p>
    <w:p w14:paraId="0F94032E" w14:textId="0DB92D26" w:rsidR="0007683E" w:rsidRPr="00984085" w:rsidRDefault="0007683E" w:rsidP="0007683E">
      <w:pPr>
        <w:spacing w:line="480" w:lineRule="auto"/>
        <w:ind w:left="567" w:hanging="567"/>
        <w:jc w:val="both"/>
      </w:pPr>
      <w:proofErr w:type="spellStart"/>
      <w:r w:rsidRPr="00984085">
        <w:t>Pinquart</w:t>
      </w:r>
      <w:proofErr w:type="spellEnd"/>
      <w:r w:rsidRPr="00984085">
        <w:t xml:space="preserve">, M., &amp; </w:t>
      </w:r>
      <w:proofErr w:type="spellStart"/>
      <w:r w:rsidRPr="00984085">
        <w:t>Sörensen</w:t>
      </w:r>
      <w:proofErr w:type="spellEnd"/>
      <w:r w:rsidRPr="00984085">
        <w:t xml:space="preserve">, S. (2006). Gender differences in caregiver stressors, social resources, and health: an updated meta-analysis. The journals of gerontology. Series B, Psychological sciences and social sciences, 61(1), P33–P45. </w:t>
      </w:r>
      <w:hyperlink r:id="rId12" w:history="1">
        <w:r w:rsidR="004D61F1" w:rsidRPr="00984085">
          <w:rPr>
            <w:rStyle w:val="Hyperlink"/>
          </w:rPr>
          <w:t>https://doi.org/10.1093/geronb/61.1.p33</w:t>
        </w:r>
      </w:hyperlink>
    </w:p>
    <w:p w14:paraId="5462CDE4" w14:textId="4E8CD7E0" w:rsidR="004D61F1" w:rsidRPr="00984085" w:rsidRDefault="004D61F1" w:rsidP="004D61F1">
      <w:pPr>
        <w:spacing w:line="480" w:lineRule="auto"/>
        <w:ind w:left="567" w:hanging="567"/>
        <w:jc w:val="both"/>
      </w:pPr>
      <w:proofErr w:type="spellStart"/>
      <w:r w:rsidRPr="00984085">
        <w:t>Ranci</w:t>
      </w:r>
      <w:proofErr w:type="spellEnd"/>
      <w:r w:rsidRPr="00984085">
        <w:t xml:space="preserve">, C. &amp; </w:t>
      </w:r>
      <w:proofErr w:type="spellStart"/>
      <w:r w:rsidRPr="00984085">
        <w:t>Pavolini</w:t>
      </w:r>
      <w:proofErr w:type="spellEnd"/>
      <w:r w:rsidRPr="00984085">
        <w:t xml:space="preserve">, E. (2015). Not all that glitters </w:t>
      </w:r>
      <w:proofErr w:type="gramStart"/>
      <w:r w:rsidRPr="00984085">
        <w:t>is</w:t>
      </w:r>
      <w:proofErr w:type="gramEnd"/>
      <w:r w:rsidRPr="00984085">
        <w:t xml:space="preserve"> gold: Long-term care reforms in the last two decades in Europe. Journal of European Social Policy, 25(3): 270–285.</w:t>
      </w:r>
    </w:p>
    <w:p w14:paraId="3C4ABD0D" w14:textId="77777777" w:rsidR="0007683E" w:rsidRPr="00984085" w:rsidRDefault="0007683E" w:rsidP="0007683E">
      <w:pPr>
        <w:spacing w:line="480" w:lineRule="auto"/>
        <w:ind w:left="567" w:hanging="567"/>
        <w:jc w:val="both"/>
      </w:pPr>
      <w:r w:rsidRPr="00984085">
        <w:t xml:space="preserve">Rodrigues, R., &amp; </w:t>
      </w:r>
      <w:proofErr w:type="spellStart"/>
      <w:r w:rsidRPr="00984085">
        <w:t>Ilinca</w:t>
      </w:r>
      <w:proofErr w:type="spellEnd"/>
      <w:r w:rsidRPr="00984085">
        <w:t>, S. (2021). How does she do it all? Effects of education on reconciliation of employment and informal caregiving among Austrian women. Soc Policy Adm. 1– 19. https://doi.org/10.1111/spol.12706</w:t>
      </w:r>
    </w:p>
    <w:p w14:paraId="1A435E30" w14:textId="77777777" w:rsidR="0007683E" w:rsidRPr="00984085" w:rsidRDefault="0007683E" w:rsidP="0007683E">
      <w:pPr>
        <w:spacing w:line="480" w:lineRule="auto"/>
        <w:ind w:left="567" w:hanging="567"/>
        <w:jc w:val="both"/>
        <w:rPr>
          <w:lang w:val="de-AT"/>
        </w:rPr>
      </w:pPr>
      <w:r w:rsidRPr="00984085">
        <w:t xml:space="preserve">Ryan L.H., Smith J., Antonucci T.C., &amp; Jackson J.S. (2012). Cohort differences in the availability of informal caregivers: are the Boomers at risk? </w:t>
      </w:r>
      <w:r w:rsidRPr="00984085">
        <w:rPr>
          <w:lang w:val="de-AT"/>
        </w:rPr>
        <w:t>Gerontol 52:177–188. https://doi.org/10.1093/geront/gnr142.</w:t>
      </w:r>
    </w:p>
    <w:p w14:paraId="25810F56" w14:textId="4D8F7A83" w:rsidR="0007683E" w:rsidRPr="00984085" w:rsidRDefault="0007683E" w:rsidP="0007683E">
      <w:pPr>
        <w:spacing w:line="480" w:lineRule="auto"/>
        <w:ind w:left="567" w:hanging="567"/>
        <w:jc w:val="both"/>
        <w:rPr>
          <w:lang w:val="en-US"/>
        </w:rPr>
      </w:pPr>
      <w:r w:rsidRPr="00984085">
        <w:rPr>
          <w:lang w:val="de-AT"/>
        </w:rPr>
        <w:t xml:space="preserve">Schmid, T., Brandt, M. &amp; Haberkern, K. (2012). </w:t>
      </w:r>
      <w:r w:rsidRPr="00984085">
        <w:t xml:space="preserve">Gendered Support to Older Parents: Do Welfare States Matter? </w:t>
      </w:r>
      <w:r w:rsidRPr="00984085">
        <w:rPr>
          <w:lang w:val="en-US"/>
        </w:rPr>
        <w:t>European Journal of Ageing, 9(1), 39-50.</w:t>
      </w:r>
    </w:p>
    <w:p w14:paraId="145BC710" w14:textId="578179CA" w:rsidR="000D6CD1" w:rsidRPr="00984085" w:rsidRDefault="000D6CD1" w:rsidP="0007683E">
      <w:pPr>
        <w:spacing w:line="480" w:lineRule="auto"/>
        <w:ind w:left="567" w:hanging="567"/>
        <w:jc w:val="both"/>
        <w:rPr>
          <w:lang w:val="en-US"/>
        </w:rPr>
      </w:pPr>
      <w:r w:rsidRPr="00BC788B">
        <w:rPr>
          <w:lang w:val="en-CA"/>
        </w:rPr>
        <w:t xml:space="preserve">Schulz, R., &amp; Beach, S.R. (1999). </w:t>
      </w:r>
      <w:r w:rsidRPr="00984085">
        <w:rPr>
          <w:lang w:val="en-US"/>
        </w:rPr>
        <w:t xml:space="preserve">Caregiving as a risk factor for mortality: </w:t>
      </w:r>
      <w:proofErr w:type="gramStart"/>
      <w:r w:rsidRPr="00984085">
        <w:rPr>
          <w:lang w:val="en-US"/>
        </w:rPr>
        <w:t>the</w:t>
      </w:r>
      <w:proofErr w:type="gramEnd"/>
      <w:r w:rsidRPr="00984085">
        <w:rPr>
          <w:lang w:val="en-US"/>
        </w:rPr>
        <w:t xml:space="preserve"> Caregiver Health Effects Study. JAMA, 282(23), 2215-2219. </w:t>
      </w:r>
      <w:proofErr w:type="spellStart"/>
      <w:r w:rsidRPr="00984085">
        <w:rPr>
          <w:lang w:val="en-US"/>
        </w:rPr>
        <w:t>doi</w:t>
      </w:r>
      <w:proofErr w:type="spellEnd"/>
      <w:r w:rsidRPr="00984085">
        <w:rPr>
          <w:lang w:val="en-US"/>
        </w:rPr>
        <w:t>: 10.1001/jama.282.23.2215.</w:t>
      </w:r>
    </w:p>
    <w:p w14:paraId="63361D0C" w14:textId="77777777" w:rsidR="0007683E" w:rsidRPr="00984085" w:rsidRDefault="0007683E" w:rsidP="0007683E">
      <w:pPr>
        <w:spacing w:line="480" w:lineRule="auto"/>
        <w:ind w:left="567" w:hanging="567"/>
        <w:jc w:val="both"/>
      </w:pPr>
      <w:proofErr w:type="spellStart"/>
      <w:r w:rsidRPr="00984085">
        <w:t>Spasova</w:t>
      </w:r>
      <w:proofErr w:type="spellEnd"/>
      <w:r w:rsidRPr="00984085">
        <w:t xml:space="preserve">, S., </w:t>
      </w:r>
      <w:proofErr w:type="spellStart"/>
      <w:r w:rsidRPr="00984085">
        <w:t>Baeten</w:t>
      </w:r>
      <w:proofErr w:type="spellEnd"/>
      <w:r w:rsidRPr="00984085">
        <w:t xml:space="preserve">, R., </w:t>
      </w:r>
      <w:proofErr w:type="spellStart"/>
      <w:r w:rsidRPr="00984085">
        <w:t>Coster</w:t>
      </w:r>
      <w:proofErr w:type="spellEnd"/>
      <w:r w:rsidRPr="00984085">
        <w:t xml:space="preserve">, S., Ghailani, D., Peña-Casas, R., &amp; </w:t>
      </w:r>
      <w:proofErr w:type="spellStart"/>
      <w:r w:rsidRPr="00984085">
        <w:t>Vanhercke</w:t>
      </w:r>
      <w:proofErr w:type="spellEnd"/>
      <w:r w:rsidRPr="00984085">
        <w:t>, B. (2018) Challenges in long-term care in Europe. A study of national policies, European Social Policy Network (ESPN), European Commission</w:t>
      </w:r>
    </w:p>
    <w:p w14:paraId="5E74531E" w14:textId="6D19DBC0" w:rsidR="0007683E" w:rsidRPr="00984085" w:rsidRDefault="0007683E" w:rsidP="0007683E">
      <w:pPr>
        <w:spacing w:line="480" w:lineRule="auto"/>
        <w:ind w:left="567" w:hanging="567"/>
        <w:jc w:val="both"/>
      </w:pPr>
      <w:proofErr w:type="spellStart"/>
      <w:r w:rsidRPr="00984085">
        <w:lastRenderedPageBreak/>
        <w:t>Ungerson</w:t>
      </w:r>
      <w:proofErr w:type="spellEnd"/>
      <w:r w:rsidRPr="00984085">
        <w:t xml:space="preserve">, C., &amp; </w:t>
      </w:r>
      <w:proofErr w:type="spellStart"/>
      <w:r w:rsidRPr="00984085">
        <w:t>Yeandle</w:t>
      </w:r>
      <w:proofErr w:type="spellEnd"/>
      <w:r w:rsidRPr="00984085">
        <w:t xml:space="preserve">, S. (2007) Conclusion: dilemmas, contradiction and changes. In: </w:t>
      </w:r>
      <w:proofErr w:type="spellStart"/>
      <w:r w:rsidRPr="00984085">
        <w:t>Ungerson</w:t>
      </w:r>
      <w:proofErr w:type="spellEnd"/>
      <w:r w:rsidRPr="00984085">
        <w:t xml:space="preserve">, C., </w:t>
      </w:r>
      <w:proofErr w:type="spellStart"/>
      <w:r w:rsidRPr="00984085">
        <w:t>Yeandle</w:t>
      </w:r>
      <w:proofErr w:type="spellEnd"/>
      <w:r w:rsidRPr="00984085">
        <w:t>, S. (eds) Cash for Care in Developed Welfare State. London: Palgrave Macmillan, 187–206.</w:t>
      </w:r>
    </w:p>
    <w:p w14:paraId="14103C9B" w14:textId="3DDE93FC" w:rsidR="004D61F1" w:rsidRPr="00984085" w:rsidRDefault="004D61F1" w:rsidP="0007683E">
      <w:pPr>
        <w:spacing w:line="480" w:lineRule="auto"/>
        <w:ind w:left="567" w:hanging="567"/>
        <w:jc w:val="both"/>
      </w:pPr>
      <w:r w:rsidRPr="00984085">
        <w:t>Wilson, B., &amp; Smallwood, S. (2008). Age differences at marriage and divorce. Population trends, 132, 17-25.</w:t>
      </w:r>
    </w:p>
    <w:p w14:paraId="2FA58249" w14:textId="77777777" w:rsidR="0007683E" w:rsidRPr="00984085" w:rsidRDefault="0007683E" w:rsidP="0007683E">
      <w:pPr>
        <w:spacing w:line="480" w:lineRule="auto"/>
        <w:ind w:left="567" w:hanging="567"/>
        <w:jc w:val="both"/>
        <w:rPr>
          <w:color w:val="000000"/>
          <w:shd w:val="clear" w:color="auto" w:fill="FFFFFF"/>
        </w:rPr>
      </w:pPr>
      <w:r w:rsidRPr="00984085">
        <w:rPr>
          <w:color w:val="000000"/>
          <w:shd w:val="clear" w:color="auto" w:fill="FFFFFF"/>
        </w:rPr>
        <w:t>WHO (2007). </w:t>
      </w:r>
      <w:r w:rsidRPr="00984085">
        <w:rPr>
          <w:rStyle w:val="ref-journal"/>
          <w:i/>
          <w:iCs/>
          <w:color w:val="000000"/>
          <w:shd w:val="clear" w:color="auto" w:fill="FFFFFF"/>
        </w:rPr>
        <w:t>Women, ageing and health: a framework for action: focus on gender.</w:t>
      </w:r>
      <w:r w:rsidRPr="00984085">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rsidRPr="00984085">
        <w:t>Zigante</w:t>
      </w:r>
      <w:proofErr w:type="spellEnd"/>
      <w:r w:rsidRPr="00984085">
        <w:t>, V. (2018). Informal care in Europe: Exploring Formalisation, Availability a</w:t>
      </w:r>
      <w:r>
        <w:t>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w:t>
      </w:r>
      <w:proofErr w:type="gramStart"/>
      <w:r w:rsidR="006831DB" w:rsidRPr="006831DB">
        <w:t>0.01;*</w:t>
      </w:r>
      <w:proofErr w:type="gramEnd"/>
      <w:r w:rsidR="006831DB" w:rsidRPr="006831DB">
        <w:t>**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1EE00CEE" w:rsidR="00FE6ECB" w:rsidRDefault="00FE6ECB"/>
    <w:p w14:paraId="16EF6780" w14:textId="7C97D2C1" w:rsidR="00A259AD" w:rsidRDefault="000D6CD1">
      <w:r>
        <w:rPr>
          <w:noProof/>
        </w:rPr>
        <w:drawing>
          <wp:inline distT="0" distB="0" distL="0" distR="0" wp14:anchorId="1D033115" wp14:editId="465F1426">
            <wp:extent cx="4418672" cy="32194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23051" cy="3222641"/>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50B06B57" w:rsidR="00280B13" w:rsidRDefault="009B5842" w:rsidP="00280B13">
      <w:r>
        <w:rPr>
          <w:noProof/>
        </w:rPr>
        <w:drawing>
          <wp:inline distT="0" distB="0" distL="0" distR="0" wp14:anchorId="0023F7B8" wp14:editId="3CA9096B">
            <wp:extent cx="4209504" cy="306705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1950" cy="306883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5B201707" w:rsidR="00280B13" w:rsidRDefault="0099303D" w:rsidP="00280B13">
      <w:r>
        <w:rPr>
          <w:noProof/>
        </w:rPr>
        <w:drawing>
          <wp:inline distT="0" distB="0" distL="0" distR="0" wp14:anchorId="71434B72" wp14:editId="007C07EA">
            <wp:extent cx="4562475" cy="3324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2475" cy="3324225"/>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28"/>
      </w:tblGrid>
      <w:tr w:rsidR="00F93A88" w14:paraId="19F5AF71" w14:textId="77777777" w:rsidTr="005254E4">
        <w:tc>
          <w:tcPr>
            <w:tcW w:w="4602" w:type="dxa"/>
          </w:tcPr>
          <w:p w14:paraId="5AF9D314" w14:textId="77777777" w:rsidR="00FE6ECB" w:rsidRDefault="00FE6ECB" w:rsidP="00FE6ECB">
            <w:bookmarkStart w:id="2" w:name="_Hlk73015800"/>
            <w:r>
              <w:t>Continental care regime</w:t>
            </w:r>
          </w:p>
        </w:tc>
        <w:tc>
          <w:tcPr>
            <w:tcW w:w="4424" w:type="dxa"/>
          </w:tcPr>
          <w:p w14:paraId="3D239AC8" w14:textId="77777777" w:rsidR="00FE6ECB" w:rsidRDefault="00FE6ECB" w:rsidP="00FE6ECB">
            <w:r>
              <w:t>Southern care regime</w:t>
            </w:r>
          </w:p>
        </w:tc>
      </w:tr>
      <w:bookmarkEnd w:id="2"/>
      <w:tr w:rsidR="00F93A88" w14:paraId="2366411B" w14:textId="77777777" w:rsidTr="005254E4">
        <w:tc>
          <w:tcPr>
            <w:tcW w:w="4602" w:type="dxa"/>
          </w:tcPr>
          <w:p w14:paraId="01585227" w14:textId="7431554F" w:rsidR="00FE6ECB" w:rsidRDefault="00BA1065" w:rsidP="00FE6ECB">
            <w:r>
              <w:rPr>
                <w:noProof/>
              </w:rPr>
              <w:drawing>
                <wp:inline distT="0" distB="0" distL="0" distR="0" wp14:anchorId="3C33E223" wp14:editId="549481A3">
                  <wp:extent cx="2693037" cy="1962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8621" cy="1966219"/>
                          </a:xfrm>
                          <a:prstGeom prst="rect">
                            <a:avLst/>
                          </a:prstGeom>
                          <a:noFill/>
                          <a:ln>
                            <a:noFill/>
                          </a:ln>
                        </pic:spPr>
                      </pic:pic>
                    </a:graphicData>
                  </a:graphic>
                </wp:inline>
              </w:drawing>
            </w:r>
          </w:p>
        </w:tc>
        <w:tc>
          <w:tcPr>
            <w:tcW w:w="4424" w:type="dxa"/>
          </w:tcPr>
          <w:p w14:paraId="34545C50" w14:textId="240A78A8" w:rsidR="00FE6ECB" w:rsidRDefault="00F93A88" w:rsidP="00FE6ECB">
            <w:r>
              <w:rPr>
                <w:noProof/>
              </w:rPr>
              <w:drawing>
                <wp:inline distT="0" distB="0" distL="0" distR="0" wp14:anchorId="186678C0" wp14:editId="5D7D389B">
                  <wp:extent cx="2676525" cy="19501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5880" cy="1956935"/>
                          </a:xfrm>
                          <a:prstGeom prst="rect">
                            <a:avLst/>
                          </a:prstGeom>
                          <a:noFill/>
                          <a:ln>
                            <a:noFill/>
                          </a:ln>
                        </pic:spPr>
                      </pic:pic>
                    </a:graphicData>
                  </a:graphic>
                </wp:inline>
              </w:drawing>
            </w:r>
          </w:p>
        </w:tc>
      </w:tr>
      <w:tr w:rsidR="00F93A88" w14:paraId="33E6FB77" w14:textId="77777777" w:rsidTr="005254E4">
        <w:tc>
          <w:tcPr>
            <w:tcW w:w="4602" w:type="dxa"/>
          </w:tcPr>
          <w:p w14:paraId="24DC7832" w14:textId="77777777" w:rsidR="00FE6ECB" w:rsidRDefault="00FE6ECB" w:rsidP="00FE6ECB">
            <w:bookmarkStart w:id="3" w:name="_Hlk73015816"/>
            <w:r>
              <w:t>Northern care regime</w:t>
            </w:r>
            <w:bookmarkEnd w:id="3"/>
          </w:p>
        </w:tc>
        <w:tc>
          <w:tcPr>
            <w:tcW w:w="4424" w:type="dxa"/>
          </w:tcPr>
          <w:p w14:paraId="38FBEE05" w14:textId="77777777" w:rsidR="00FE6ECB" w:rsidRDefault="00FE6ECB" w:rsidP="00FE6ECB"/>
        </w:tc>
      </w:tr>
      <w:tr w:rsidR="00F93A88" w14:paraId="356A264B" w14:textId="77777777" w:rsidTr="005254E4">
        <w:tc>
          <w:tcPr>
            <w:tcW w:w="4602" w:type="dxa"/>
          </w:tcPr>
          <w:p w14:paraId="3F49C485" w14:textId="43FA1D17" w:rsidR="00FE6ECB" w:rsidRDefault="00F93A88" w:rsidP="00FE6ECB">
            <w:r>
              <w:rPr>
                <w:noProof/>
              </w:rPr>
              <w:drawing>
                <wp:inline distT="0" distB="0" distL="0" distR="0" wp14:anchorId="2B39D883" wp14:editId="05AD17B9">
                  <wp:extent cx="2784548" cy="2028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8795" cy="2039206"/>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88F44" w16cex:dateUtc="2021-06-07T10: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97FD" w14:textId="77777777" w:rsidR="008B0557" w:rsidRDefault="008B0557" w:rsidP="00E73A22">
      <w:pPr>
        <w:spacing w:after="0" w:line="240" w:lineRule="auto"/>
      </w:pPr>
      <w:r>
        <w:separator/>
      </w:r>
    </w:p>
  </w:endnote>
  <w:endnote w:type="continuationSeparator" w:id="0">
    <w:p w14:paraId="6657EDF5" w14:textId="77777777" w:rsidR="008B0557" w:rsidRDefault="008B0557" w:rsidP="00E7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4E3D1" w14:textId="77777777" w:rsidR="008B0557" w:rsidRDefault="008B0557" w:rsidP="00E73A22">
      <w:pPr>
        <w:spacing w:after="0" w:line="240" w:lineRule="auto"/>
      </w:pPr>
      <w:r>
        <w:separator/>
      </w:r>
    </w:p>
  </w:footnote>
  <w:footnote w:type="continuationSeparator" w:id="0">
    <w:p w14:paraId="6EA17EDD" w14:textId="77777777" w:rsidR="008B0557" w:rsidRDefault="008B0557" w:rsidP="00E73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5775F1E"/>
    <w:multiLevelType w:val="hybridMultilevel"/>
    <w:tmpl w:val="9A86AEB6"/>
    <w:lvl w:ilvl="0" w:tplc="F042A8A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860"/>
    <w:rsid w:val="00036D24"/>
    <w:rsid w:val="000719D1"/>
    <w:rsid w:val="0007501A"/>
    <w:rsid w:val="0007683E"/>
    <w:rsid w:val="0008486A"/>
    <w:rsid w:val="00093886"/>
    <w:rsid w:val="000B77AD"/>
    <w:rsid w:val="000C1FF9"/>
    <w:rsid w:val="000D6CD1"/>
    <w:rsid w:val="000D752F"/>
    <w:rsid w:val="000E492B"/>
    <w:rsid w:val="000E5B9D"/>
    <w:rsid w:val="000E5F38"/>
    <w:rsid w:val="000F7477"/>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77BF5"/>
    <w:rsid w:val="00184697"/>
    <w:rsid w:val="00186F81"/>
    <w:rsid w:val="00187187"/>
    <w:rsid w:val="00192123"/>
    <w:rsid w:val="001923BE"/>
    <w:rsid w:val="0019637F"/>
    <w:rsid w:val="001A1208"/>
    <w:rsid w:val="001B4A4D"/>
    <w:rsid w:val="001C3671"/>
    <w:rsid w:val="001D3469"/>
    <w:rsid w:val="001E2CFE"/>
    <w:rsid w:val="001F6D06"/>
    <w:rsid w:val="001F6D5D"/>
    <w:rsid w:val="00222E47"/>
    <w:rsid w:val="002319C3"/>
    <w:rsid w:val="00247D76"/>
    <w:rsid w:val="00257E98"/>
    <w:rsid w:val="0026383C"/>
    <w:rsid w:val="00267BB1"/>
    <w:rsid w:val="002739A0"/>
    <w:rsid w:val="00280B13"/>
    <w:rsid w:val="00280CC4"/>
    <w:rsid w:val="00281958"/>
    <w:rsid w:val="00284FC7"/>
    <w:rsid w:val="002A40EE"/>
    <w:rsid w:val="002B2ED3"/>
    <w:rsid w:val="002C0C93"/>
    <w:rsid w:val="002C6CC0"/>
    <w:rsid w:val="002D2023"/>
    <w:rsid w:val="002E529F"/>
    <w:rsid w:val="00326488"/>
    <w:rsid w:val="00333219"/>
    <w:rsid w:val="00336E68"/>
    <w:rsid w:val="00341C5B"/>
    <w:rsid w:val="00342D15"/>
    <w:rsid w:val="003555B1"/>
    <w:rsid w:val="003642EA"/>
    <w:rsid w:val="00375259"/>
    <w:rsid w:val="0038473C"/>
    <w:rsid w:val="003849BE"/>
    <w:rsid w:val="00386223"/>
    <w:rsid w:val="00395565"/>
    <w:rsid w:val="0039680C"/>
    <w:rsid w:val="003A6B92"/>
    <w:rsid w:val="003B039D"/>
    <w:rsid w:val="003B2B36"/>
    <w:rsid w:val="003C0969"/>
    <w:rsid w:val="003E2037"/>
    <w:rsid w:val="004000C1"/>
    <w:rsid w:val="00431C5A"/>
    <w:rsid w:val="00434621"/>
    <w:rsid w:val="004350E7"/>
    <w:rsid w:val="00443C4B"/>
    <w:rsid w:val="00452CFB"/>
    <w:rsid w:val="0045561E"/>
    <w:rsid w:val="00456310"/>
    <w:rsid w:val="00463741"/>
    <w:rsid w:val="00485468"/>
    <w:rsid w:val="004A01E5"/>
    <w:rsid w:val="004A2127"/>
    <w:rsid w:val="004B111B"/>
    <w:rsid w:val="004B1AC3"/>
    <w:rsid w:val="004B1D3A"/>
    <w:rsid w:val="004B683C"/>
    <w:rsid w:val="004C131E"/>
    <w:rsid w:val="004D61F1"/>
    <w:rsid w:val="004E31BE"/>
    <w:rsid w:val="00511A96"/>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5F7154"/>
    <w:rsid w:val="006016B7"/>
    <w:rsid w:val="00602FED"/>
    <w:rsid w:val="0060333E"/>
    <w:rsid w:val="006133D4"/>
    <w:rsid w:val="006162B2"/>
    <w:rsid w:val="00620E77"/>
    <w:rsid w:val="00624BE0"/>
    <w:rsid w:val="00624F8A"/>
    <w:rsid w:val="00626AA0"/>
    <w:rsid w:val="00627C53"/>
    <w:rsid w:val="00646C04"/>
    <w:rsid w:val="00657F20"/>
    <w:rsid w:val="00671051"/>
    <w:rsid w:val="00672E06"/>
    <w:rsid w:val="00674523"/>
    <w:rsid w:val="006831DB"/>
    <w:rsid w:val="006A273A"/>
    <w:rsid w:val="006D56C2"/>
    <w:rsid w:val="006E074E"/>
    <w:rsid w:val="006E69EB"/>
    <w:rsid w:val="006F6108"/>
    <w:rsid w:val="00706ADF"/>
    <w:rsid w:val="00710012"/>
    <w:rsid w:val="00720A15"/>
    <w:rsid w:val="00722CD0"/>
    <w:rsid w:val="00723597"/>
    <w:rsid w:val="0073065F"/>
    <w:rsid w:val="00735EFE"/>
    <w:rsid w:val="00750ABE"/>
    <w:rsid w:val="00762BB9"/>
    <w:rsid w:val="00787E68"/>
    <w:rsid w:val="00794656"/>
    <w:rsid w:val="007A5D80"/>
    <w:rsid w:val="007A7220"/>
    <w:rsid w:val="007B2291"/>
    <w:rsid w:val="007D4F6C"/>
    <w:rsid w:val="007E018C"/>
    <w:rsid w:val="007E5539"/>
    <w:rsid w:val="007F277C"/>
    <w:rsid w:val="0080320E"/>
    <w:rsid w:val="00810014"/>
    <w:rsid w:val="00831512"/>
    <w:rsid w:val="00842F95"/>
    <w:rsid w:val="00844624"/>
    <w:rsid w:val="008516C8"/>
    <w:rsid w:val="00854309"/>
    <w:rsid w:val="00865503"/>
    <w:rsid w:val="00872409"/>
    <w:rsid w:val="00875559"/>
    <w:rsid w:val="008755AA"/>
    <w:rsid w:val="00890945"/>
    <w:rsid w:val="008A4F44"/>
    <w:rsid w:val="008A6748"/>
    <w:rsid w:val="008B0557"/>
    <w:rsid w:val="008B2D57"/>
    <w:rsid w:val="008D0745"/>
    <w:rsid w:val="008D3242"/>
    <w:rsid w:val="008D6E05"/>
    <w:rsid w:val="008D7C26"/>
    <w:rsid w:val="008E0F16"/>
    <w:rsid w:val="00921E68"/>
    <w:rsid w:val="00925BD5"/>
    <w:rsid w:val="009270CE"/>
    <w:rsid w:val="00927B42"/>
    <w:rsid w:val="00934C5F"/>
    <w:rsid w:val="0096766B"/>
    <w:rsid w:val="00984085"/>
    <w:rsid w:val="0099303D"/>
    <w:rsid w:val="009B5842"/>
    <w:rsid w:val="009F1351"/>
    <w:rsid w:val="009F657A"/>
    <w:rsid w:val="00A00BA3"/>
    <w:rsid w:val="00A01C35"/>
    <w:rsid w:val="00A23FF0"/>
    <w:rsid w:val="00A259AD"/>
    <w:rsid w:val="00A26189"/>
    <w:rsid w:val="00A62290"/>
    <w:rsid w:val="00A80E2E"/>
    <w:rsid w:val="00A91C1B"/>
    <w:rsid w:val="00A95D5E"/>
    <w:rsid w:val="00AA0C01"/>
    <w:rsid w:val="00AA24ED"/>
    <w:rsid w:val="00AC10EF"/>
    <w:rsid w:val="00AD6136"/>
    <w:rsid w:val="00AE3BE2"/>
    <w:rsid w:val="00AF4744"/>
    <w:rsid w:val="00B06F51"/>
    <w:rsid w:val="00B30A0D"/>
    <w:rsid w:val="00B353FC"/>
    <w:rsid w:val="00B566D4"/>
    <w:rsid w:val="00B61DE9"/>
    <w:rsid w:val="00B677F0"/>
    <w:rsid w:val="00B82671"/>
    <w:rsid w:val="00B84FE4"/>
    <w:rsid w:val="00B90E3C"/>
    <w:rsid w:val="00BA1065"/>
    <w:rsid w:val="00BA25B4"/>
    <w:rsid w:val="00BA2F78"/>
    <w:rsid w:val="00BA7E5F"/>
    <w:rsid w:val="00BB1CDD"/>
    <w:rsid w:val="00BC2319"/>
    <w:rsid w:val="00BC7147"/>
    <w:rsid w:val="00BC788B"/>
    <w:rsid w:val="00BE3E57"/>
    <w:rsid w:val="00BF0B72"/>
    <w:rsid w:val="00BF69A1"/>
    <w:rsid w:val="00C03A01"/>
    <w:rsid w:val="00C247DF"/>
    <w:rsid w:val="00C279FE"/>
    <w:rsid w:val="00C41B5C"/>
    <w:rsid w:val="00C50106"/>
    <w:rsid w:val="00C66A6E"/>
    <w:rsid w:val="00C751A3"/>
    <w:rsid w:val="00C767AC"/>
    <w:rsid w:val="00C81E5F"/>
    <w:rsid w:val="00C86253"/>
    <w:rsid w:val="00C9125A"/>
    <w:rsid w:val="00C913D2"/>
    <w:rsid w:val="00CA2094"/>
    <w:rsid w:val="00CA2356"/>
    <w:rsid w:val="00CB5D16"/>
    <w:rsid w:val="00CD4049"/>
    <w:rsid w:val="00CE335C"/>
    <w:rsid w:val="00CE6497"/>
    <w:rsid w:val="00D04756"/>
    <w:rsid w:val="00D06753"/>
    <w:rsid w:val="00D06AF8"/>
    <w:rsid w:val="00D1102C"/>
    <w:rsid w:val="00D13440"/>
    <w:rsid w:val="00D15C9B"/>
    <w:rsid w:val="00D378E6"/>
    <w:rsid w:val="00D45029"/>
    <w:rsid w:val="00D450E9"/>
    <w:rsid w:val="00D63CED"/>
    <w:rsid w:val="00D65624"/>
    <w:rsid w:val="00D6577A"/>
    <w:rsid w:val="00D813D5"/>
    <w:rsid w:val="00D877C3"/>
    <w:rsid w:val="00D911B5"/>
    <w:rsid w:val="00D97E96"/>
    <w:rsid w:val="00DA7D06"/>
    <w:rsid w:val="00DB63AB"/>
    <w:rsid w:val="00DC37DA"/>
    <w:rsid w:val="00DD519C"/>
    <w:rsid w:val="00DD5FFF"/>
    <w:rsid w:val="00DF0C9D"/>
    <w:rsid w:val="00E3150C"/>
    <w:rsid w:val="00E334B0"/>
    <w:rsid w:val="00E37F72"/>
    <w:rsid w:val="00E4240E"/>
    <w:rsid w:val="00E45195"/>
    <w:rsid w:val="00E5582B"/>
    <w:rsid w:val="00E60900"/>
    <w:rsid w:val="00E611E3"/>
    <w:rsid w:val="00E73A22"/>
    <w:rsid w:val="00E764E3"/>
    <w:rsid w:val="00E90325"/>
    <w:rsid w:val="00E91FFD"/>
    <w:rsid w:val="00E9793E"/>
    <w:rsid w:val="00EA4786"/>
    <w:rsid w:val="00EE5AC9"/>
    <w:rsid w:val="00EF46EC"/>
    <w:rsid w:val="00F0469D"/>
    <w:rsid w:val="00F05317"/>
    <w:rsid w:val="00F056EB"/>
    <w:rsid w:val="00F10038"/>
    <w:rsid w:val="00F11FF4"/>
    <w:rsid w:val="00F567E0"/>
    <w:rsid w:val="00F72509"/>
    <w:rsid w:val="00F73E65"/>
    <w:rsid w:val="00F82508"/>
    <w:rsid w:val="00F82B96"/>
    <w:rsid w:val="00F835B6"/>
    <w:rsid w:val="00F8370F"/>
    <w:rsid w:val="00F93A88"/>
    <w:rsid w:val="00FA1540"/>
    <w:rsid w:val="00FA2097"/>
    <w:rsid w:val="00FB17DB"/>
    <w:rsid w:val="00FC1DC5"/>
    <w:rsid w:val="00FC7255"/>
    <w:rsid w:val="00FE178B"/>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1">
    <w:name w:val="Unresolved Mention1"/>
    <w:basedOn w:val="DefaultParagraphFont"/>
    <w:uiPriority w:val="99"/>
    <w:semiHidden/>
    <w:unhideWhenUsed/>
    <w:rsid w:val="00C03A01"/>
    <w:rPr>
      <w:color w:val="605E5C"/>
      <w:shd w:val="clear" w:color="auto" w:fill="E1DFDD"/>
    </w:rPr>
  </w:style>
  <w:style w:type="paragraph" w:styleId="Header">
    <w:name w:val="header"/>
    <w:basedOn w:val="Normal"/>
    <w:link w:val="HeaderChar"/>
    <w:uiPriority w:val="99"/>
    <w:unhideWhenUsed/>
    <w:rsid w:val="00E73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A22"/>
  </w:style>
  <w:style w:type="paragraph" w:styleId="Footer">
    <w:name w:val="footer"/>
    <w:basedOn w:val="Normal"/>
    <w:link w:val="FooterChar"/>
    <w:uiPriority w:val="99"/>
    <w:unhideWhenUsed/>
    <w:rsid w:val="00E73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A22"/>
  </w:style>
  <w:style w:type="character" w:styleId="UnresolvedMention">
    <w:name w:val="Unresolved Mention"/>
    <w:basedOn w:val="DefaultParagraphFont"/>
    <w:uiPriority w:val="99"/>
    <w:rsid w:val="00C913D2"/>
    <w:rPr>
      <w:color w:val="605E5C"/>
      <w:shd w:val="clear" w:color="auto" w:fill="E1DFDD"/>
    </w:rPr>
  </w:style>
  <w:style w:type="character" w:customStyle="1" w:styleId="mixed-citation">
    <w:name w:val="mixed-citation"/>
    <w:basedOn w:val="DefaultParagraphFont"/>
    <w:rsid w:val="004D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181876801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0958928708091060" TargetMode="Externa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doi.org/10.1093/geronb/61.1.p33"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9789264098732-3-e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ortality.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j.1467-9515.2010.00763.x"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4869-DDB3-4734-ACD7-351B8A92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7080</Words>
  <Characters>40361</Characters>
  <Application>Microsoft Office Word</Application>
  <DocSecurity>0</DocSecurity>
  <Lines>336</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2021-06-07T11:06:00Z</dcterms:created>
  <dcterms:modified xsi:type="dcterms:W3CDTF">2021-06-07T11:06:00Z</dcterms:modified>
</cp:coreProperties>
</file>