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8DCF" w14:textId="574D79F4" w:rsidR="00242C63" w:rsidRDefault="00242C63" w:rsidP="004B20CC">
      <w:pPr>
        <w:pStyle w:val="Rubrik1"/>
        <w:rPr>
          <w:noProof/>
        </w:rPr>
      </w:pPr>
      <w:r>
        <w:rPr>
          <w:noProof/>
        </w:rPr>
        <w:t xml:space="preserve">Preliminary results: </w:t>
      </w:r>
      <w:r w:rsidR="004B20CC">
        <w:rPr>
          <w:noProof/>
        </w:rPr>
        <w:t>ADL and cohort trajectories</w:t>
      </w:r>
    </w:p>
    <w:p w14:paraId="57E378C0" w14:textId="5A72B3D5" w:rsidR="004B20CC" w:rsidRDefault="004B20CC" w:rsidP="00242C63">
      <w:pPr>
        <w:pStyle w:val="Rubrik2"/>
        <w:rPr>
          <w:noProof/>
        </w:rPr>
      </w:pPr>
      <w:r>
        <w:rPr>
          <w:noProof/>
        </w:rPr>
        <w:t>Aim</w:t>
      </w:r>
    </w:p>
    <w:p w14:paraId="7D69E0F8" w14:textId="7CB5E7E4" w:rsidR="00685201" w:rsidRPr="00685201" w:rsidRDefault="00A34809" w:rsidP="00685201">
      <w:r>
        <w:t xml:space="preserve">The aim of this study is to </w:t>
      </w:r>
      <w:r w:rsidR="001831A8">
        <w:t>describe h</w:t>
      </w:r>
      <w:r w:rsidRPr="00A34809">
        <w:t xml:space="preserve">ow gender differences </w:t>
      </w:r>
      <w:r w:rsidR="00BE491D">
        <w:t>functional status</w:t>
      </w:r>
      <w:r w:rsidRPr="00A34809">
        <w:t xml:space="preserve"> in old age differ by country and across subsequent birth cohorts within countries</w:t>
      </w:r>
      <w:r w:rsidR="001831A8">
        <w:t>.</w:t>
      </w:r>
    </w:p>
    <w:p w14:paraId="3AA4B595" w14:textId="14332E7C" w:rsidR="00685201" w:rsidRPr="00685201" w:rsidRDefault="00242C63" w:rsidP="00685201">
      <w:pPr>
        <w:pStyle w:val="Rubrik2"/>
        <w:rPr>
          <w:noProof/>
        </w:rPr>
      </w:pPr>
      <w:r>
        <w:rPr>
          <w:noProof/>
        </w:rPr>
        <w:t>Method</w:t>
      </w:r>
    </w:p>
    <w:p w14:paraId="40374251" w14:textId="35B6D516" w:rsidR="00852C43" w:rsidRDefault="0074175B">
      <w:r>
        <w:t xml:space="preserve">The data consist of repeated observations for individuals that participated </w:t>
      </w:r>
      <w:r w:rsidR="00046109">
        <w:t xml:space="preserve">in SHARE wave 1 </w:t>
      </w:r>
      <w:r w:rsidR="00BA7193">
        <w:t xml:space="preserve">(2004) </w:t>
      </w:r>
      <w:r w:rsidR="00046109">
        <w:t xml:space="preserve">or wave 2 </w:t>
      </w:r>
      <w:r w:rsidR="00BA7193">
        <w:t xml:space="preserve">(2007) </w:t>
      </w:r>
      <w:r w:rsidR="00046109">
        <w:t>and at least one subsequent wave.</w:t>
      </w:r>
      <w:r w:rsidR="00BA7193">
        <w:t xml:space="preserve"> </w:t>
      </w:r>
      <w:r w:rsidR="004042F4">
        <w:t xml:space="preserve">We fit multilevel growth curve models that predict the level of </w:t>
      </w:r>
      <w:r w:rsidR="008F446B">
        <w:t>ADL</w:t>
      </w:r>
      <w:r w:rsidR="004042F4">
        <w:t xml:space="preserve"> in wave 1 </w:t>
      </w:r>
      <w:r w:rsidR="00B82B8A">
        <w:t xml:space="preserve">or wave 2 </w:t>
      </w:r>
      <w:r w:rsidR="004042F4">
        <w:t xml:space="preserve">and the subsequent change in frailty </w:t>
      </w:r>
      <w:r w:rsidR="00CD7A38">
        <w:t>up to wave</w:t>
      </w:r>
      <w:r w:rsidR="004042F4">
        <w:t xml:space="preserve"> </w:t>
      </w:r>
      <w:r w:rsidR="008F446B">
        <w:t>7</w:t>
      </w:r>
      <w:r w:rsidR="004042F4">
        <w:t xml:space="preserve"> (200</w:t>
      </w:r>
      <w:r w:rsidR="008F446B">
        <w:t>4</w:t>
      </w:r>
      <w:r w:rsidR="004042F4">
        <w:t>–201</w:t>
      </w:r>
      <w:r w:rsidR="008F446B">
        <w:t>7</w:t>
      </w:r>
      <w:r w:rsidR="004042F4">
        <w:t xml:space="preserve">) dependent on </w:t>
      </w:r>
      <w:r w:rsidR="00877C77">
        <w:t xml:space="preserve">five-year </w:t>
      </w:r>
      <w:r w:rsidR="004042F4">
        <w:t>cohort</w:t>
      </w:r>
      <w:r w:rsidR="00877C77">
        <w:t>s</w:t>
      </w:r>
      <w:r w:rsidR="008F446B">
        <w:t>.</w:t>
      </w:r>
      <w:r w:rsidR="00E903F5">
        <w:t xml:space="preserve"> Multilevel modelling </w:t>
      </w:r>
      <w:r w:rsidR="00E73D37">
        <w:t>can handle missing</w:t>
      </w:r>
      <w:r w:rsidR="000E0077">
        <w:t xml:space="preserve"> </w:t>
      </w:r>
      <w:r w:rsidR="00AE494E">
        <w:t xml:space="preserve">values </w:t>
      </w:r>
      <w:r w:rsidR="00965BAB">
        <w:t xml:space="preserve">that the </w:t>
      </w:r>
      <w:r w:rsidR="0014155C">
        <w:t>unbalanced panel</w:t>
      </w:r>
      <w:r w:rsidR="00AD448B">
        <w:t xml:space="preserve"> data</w:t>
      </w:r>
      <w:r w:rsidR="00E73D37">
        <w:t xml:space="preserve"> </w:t>
      </w:r>
      <w:r w:rsidR="00AE494E">
        <w:t xml:space="preserve">in this study </w:t>
      </w:r>
      <w:r w:rsidR="00844ACD">
        <w:t>consist of.</w:t>
      </w:r>
      <w:r w:rsidR="002D1516">
        <w:t xml:space="preserve"> This </w:t>
      </w:r>
      <w:r w:rsidR="00F77A9A">
        <w:t>methodology</w:t>
      </w:r>
      <w:r w:rsidR="002D1516">
        <w:t xml:space="preserve"> has previously been used </w:t>
      </w:r>
      <w:r w:rsidR="00F77A9A">
        <w:t xml:space="preserve">in studies that examine cohort trajectories </w:t>
      </w:r>
      <w:r w:rsidR="000B1DA9">
        <w:t xml:space="preserve">of </w:t>
      </w:r>
      <w:r w:rsidR="009A167E">
        <w:t xml:space="preserve">frailty </w:t>
      </w:r>
      <w:r w:rsidR="000E7075">
        <w:fldChar w:fldCharType="begin"/>
      </w:r>
      <w:r w:rsidR="000E7075">
        <w:instrText xml:space="preserve"> ADDIN ZOTERO_ITEM CSL_CITATION {"citationID":"MWxL6KO0","properties":{"formattedCitation":"(Marshall et al., 2015; Rogers et al., 2017)","plainCitation":"(Marshall et al., 2015; Rogers et al., 2017)","noteIndex":0},"citationItems":[{"id":749,"uris":["http://zotero.org/users/4018193/items/A2GJMTCJ"],"uri":["http://zotero.org/users/4018193/items/A2GJMTCJ"],"itemData":{"id":749,"type":"article-journal","container-title":"Journal of Epidemiology and Community Health","DOI":"10.1136/jech-2014-204655","ISSN":"0143-005X, 1470-2738","issue":"4","journalAbbreviation":"J Epidemiol Community Health","language":"en","page":"316-321","source":"DOI.org (Crossref)","title":"Cohort differences in the levels and trajectories of frailty among older people in England","volume":"69","author":[{"family":"Marshall","given":"Alan"},{"family":"Nazroo","given":"James"},{"family":"Tampubolon","given":"Gindo"},{"family":"Vanhoutte","given":"Bram"}],"issued":{"date-parts":[["2015",4]]}}},{"id":747,"uris":["http://zotero.org/users/4018193/items/HTW24X53"],"uri":["http://zotero.org/users/4018193/items/HTW24X53"],"itemData":{"id":747,"type":"article-journal","container-title":"PLOS ONE","DOI":"10.1371/journal.pone.0170878","ISSN":"1932-6203","issue":"2","journalAbbreviation":"PLoS ONE","language":"en","page":"e0170878","source":"DOI.org (Crossref)","title":"Physical activity and trajectories of frailty among older adults: Evidence from the English Longitudinal Study of Ageing","title-short":"Physical activity and trajectories of frailty among older adults","volume":"12","author":[{"family":"Rogers","given":"Nina T."},{"family":"Marshall","given":"Alan"},{"family":"Roberts","given":"Chrissy H."},{"family":"Demakakos","given":"Panayotes"},{"family":"Steptoe","given":"Andrew"},{"family":"Scholes","given":"Shaun"}],"editor":[{"family":"Ginsberg","given":"Stephen D."}],"issued":{"date-parts":[["2017",2,2]]}}}],"schema":"https://github.com/citation-style-language/schema/raw/master/csl-citation.json"} </w:instrText>
      </w:r>
      <w:r w:rsidR="000E7075">
        <w:fldChar w:fldCharType="separate"/>
      </w:r>
      <w:r w:rsidR="000E7075" w:rsidRPr="000E7075">
        <w:rPr>
          <w:rFonts w:cs="Times New Roman"/>
        </w:rPr>
        <w:t>(Marshall et al., 2015; Rogers et al., 2017)</w:t>
      </w:r>
      <w:r w:rsidR="000E7075">
        <w:fldChar w:fldCharType="end"/>
      </w:r>
      <w:r w:rsidR="000E7075">
        <w:t>.</w:t>
      </w:r>
    </w:p>
    <w:p w14:paraId="26037BA1" w14:textId="08571D3F" w:rsidR="007D317F" w:rsidRDefault="007D317F" w:rsidP="00852C43">
      <w:pPr>
        <w:ind w:left="709" w:hanging="425"/>
      </w:pPr>
      <w:r>
        <w:t>Level 1 model</w:t>
      </w:r>
    </w:p>
    <w:p w14:paraId="0FE213F1" w14:textId="15A7EB59" w:rsidR="00A84DF9" w:rsidRDefault="00E357AB" w:rsidP="00537AE3">
      <w:pPr>
        <w:ind w:left="851" w:right="708"/>
        <w:rPr>
          <w:szCs w:val="24"/>
          <w:vertAlign w:val="subscript"/>
        </w:rPr>
      </w:pPr>
      <w:proofErr w:type="spellStart"/>
      <w:r w:rsidRPr="007979B3">
        <w:rPr>
          <w:szCs w:val="24"/>
        </w:rPr>
        <w:t>ADL</w:t>
      </w:r>
      <w:r w:rsidR="000A55D4">
        <w:rPr>
          <w:szCs w:val="24"/>
          <w:vertAlign w:val="subscript"/>
        </w:rPr>
        <w:t>ti</w:t>
      </w:r>
      <w:proofErr w:type="spellEnd"/>
      <w:r w:rsidRPr="007979B3">
        <w:rPr>
          <w:szCs w:val="24"/>
        </w:rPr>
        <w:t xml:space="preserve"> = β</w:t>
      </w:r>
      <w:r w:rsidRPr="007979B3">
        <w:rPr>
          <w:szCs w:val="24"/>
          <w:vertAlign w:val="subscript"/>
        </w:rPr>
        <w:t>0</w:t>
      </w:r>
      <w:r w:rsidR="007D317F">
        <w:rPr>
          <w:szCs w:val="24"/>
          <w:vertAlign w:val="subscript"/>
        </w:rPr>
        <w:t>i</w:t>
      </w:r>
      <w:r w:rsidRPr="007979B3">
        <w:rPr>
          <w:szCs w:val="24"/>
        </w:rPr>
        <w:t xml:space="preserve"> + β</w:t>
      </w:r>
      <w:r w:rsidRPr="007979B3">
        <w:rPr>
          <w:szCs w:val="24"/>
          <w:vertAlign w:val="subscript"/>
        </w:rPr>
        <w:t>1</w:t>
      </w:r>
      <w:r w:rsidRPr="007979B3">
        <w:rPr>
          <w:szCs w:val="24"/>
        </w:rPr>
        <w:t>wave</w:t>
      </w:r>
      <w:r w:rsidR="000A55D4">
        <w:rPr>
          <w:szCs w:val="24"/>
          <w:vertAlign w:val="subscript"/>
        </w:rPr>
        <w:t>ti</w:t>
      </w:r>
      <w:r w:rsidRPr="007979B3">
        <w:rPr>
          <w:szCs w:val="24"/>
        </w:rPr>
        <w:t xml:space="preserve"> + β</w:t>
      </w:r>
      <w:r w:rsidRPr="007979B3">
        <w:rPr>
          <w:szCs w:val="24"/>
          <w:vertAlign w:val="subscript"/>
        </w:rPr>
        <w:t>2</w:t>
      </w:r>
      <w:r w:rsidR="000A55D4">
        <w:rPr>
          <w:szCs w:val="24"/>
        </w:rPr>
        <w:t>wave</w:t>
      </w:r>
      <w:r w:rsidR="000A55D4" w:rsidRPr="007979B3">
        <w:rPr>
          <w:szCs w:val="24"/>
          <w:vertAlign w:val="superscript"/>
        </w:rPr>
        <w:t>2</w:t>
      </w:r>
      <w:r w:rsidR="000A55D4">
        <w:rPr>
          <w:szCs w:val="24"/>
          <w:vertAlign w:val="subscript"/>
        </w:rPr>
        <w:t>ti</w:t>
      </w:r>
      <w:r w:rsidRPr="007979B3">
        <w:rPr>
          <w:szCs w:val="24"/>
        </w:rPr>
        <w:t xml:space="preserve"> </w:t>
      </w:r>
      <w:r w:rsidR="00AE753A">
        <w:rPr>
          <w:szCs w:val="24"/>
        </w:rPr>
        <w:t xml:space="preserve">+ </w:t>
      </w:r>
      <w:proofErr w:type="spellStart"/>
      <w:r w:rsidR="00AE753A">
        <w:rPr>
          <w:szCs w:val="24"/>
        </w:rPr>
        <w:t>e</w:t>
      </w:r>
      <w:r w:rsidR="00AE753A">
        <w:rPr>
          <w:szCs w:val="24"/>
          <w:vertAlign w:val="subscript"/>
        </w:rPr>
        <w:t>ti</w:t>
      </w:r>
      <w:proofErr w:type="spellEnd"/>
      <w:r w:rsidR="00537AE3">
        <w:rPr>
          <w:szCs w:val="24"/>
          <w:vertAlign w:val="subscript"/>
        </w:rPr>
        <w:tab/>
      </w:r>
      <w:r w:rsidR="00537AE3">
        <w:rPr>
          <w:szCs w:val="24"/>
          <w:vertAlign w:val="subscript"/>
        </w:rPr>
        <w:tab/>
      </w:r>
      <w:r w:rsidR="00537AE3">
        <w:rPr>
          <w:szCs w:val="24"/>
          <w:vertAlign w:val="subscript"/>
        </w:rPr>
        <w:tab/>
      </w:r>
      <w:r w:rsidR="00537AE3" w:rsidRPr="00537AE3">
        <w:rPr>
          <w:szCs w:val="24"/>
        </w:rPr>
        <w:t>(1)</w:t>
      </w:r>
    </w:p>
    <w:p w14:paraId="11A2F59B" w14:textId="124D0429" w:rsidR="004F6842" w:rsidRDefault="00852C43" w:rsidP="00852C43">
      <w:pPr>
        <w:ind w:left="709" w:hanging="425"/>
        <w:rPr>
          <w:szCs w:val="24"/>
        </w:rPr>
      </w:pPr>
      <w:r>
        <w:rPr>
          <w:szCs w:val="24"/>
        </w:rPr>
        <w:t>Level 2 model: i</w:t>
      </w:r>
      <w:r w:rsidR="00074D26">
        <w:rPr>
          <w:szCs w:val="24"/>
        </w:rPr>
        <w:t>ntercept</w:t>
      </w:r>
    </w:p>
    <w:p w14:paraId="4782FFC9" w14:textId="32F92FA1" w:rsidR="00A84DF9" w:rsidRPr="00920516" w:rsidRDefault="00C4277B" w:rsidP="00537AE3">
      <w:pPr>
        <w:ind w:left="851" w:right="850"/>
        <w:rPr>
          <w:szCs w:val="24"/>
        </w:rPr>
      </w:pPr>
      <w:r w:rsidRPr="007979B3">
        <w:rPr>
          <w:szCs w:val="24"/>
        </w:rPr>
        <w:t>β</w:t>
      </w:r>
      <w:r w:rsidRPr="00920516">
        <w:rPr>
          <w:szCs w:val="24"/>
          <w:vertAlign w:val="subscript"/>
        </w:rPr>
        <w:t>0i</w:t>
      </w:r>
      <w:r w:rsidRPr="00920516">
        <w:rPr>
          <w:szCs w:val="24"/>
        </w:rPr>
        <w:t xml:space="preserve"> = </w:t>
      </w:r>
      <w:r w:rsidR="00E64202">
        <w:t>γ</w:t>
      </w:r>
      <w:r w:rsidR="00E64202" w:rsidRPr="00920516">
        <w:rPr>
          <w:vertAlign w:val="subscript"/>
        </w:rPr>
        <w:t>00</w:t>
      </w:r>
      <w:r w:rsidR="00E64202" w:rsidRPr="00920516">
        <w:t xml:space="preserve"> + </w:t>
      </w:r>
      <w:r w:rsidR="00E64202">
        <w:t>γ</w:t>
      </w:r>
      <w:r w:rsidR="00E64202" w:rsidRPr="00920516">
        <w:rPr>
          <w:vertAlign w:val="subscript"/>
        </w:rPr>
        <w:t>0</w:t>
      </w:r>
      <w:r w:rsidR="0061741F" w:rsidRPr="00920516">
        <w:rPr>
          <w:vertAlign w:val="subscript"/>
        </w:rPr>
        <w:t xml:space="preserve">1 </w:t>
      </w:r>
      <w:r w:rsidR="0061741F" w:rsidRPr="00920516">
        <w:t>cohort</w:t>
      </w:r>
      <w:r w:rsidR="00E64202" w:rsidRPr="00920516">
        <w:t xml:space="preserve"> </w:t>
      </w:r>
      <w:r w:rsidR="004D28AE" w:rsidRPr="00920516">
        <w:t xml:space="preserve">+ </w:t>
      </w:r>
      <w:r w:rsidR="004D28AE">
        <w:t>γ</w:t>
      </w:r>
      <w:r w:rsidR="004D28AE" w:rsidRPr="00920516">
        <w:rPr>
          <w:vertAlign w:val="subscript"/>
        </w:rPr>
        <w:t xml:space="preserve">01 </w:t>
      </w:r>
      <w:r w:rsidR="004D28AE" w:rsidRPr="00920516">
        <w:t xml:space="preserve">gender + </w:t>
      </w:r>
      <w:r w:rsidR="00C15501">
        <w:t>γ</w:t>
      </w:r>
      <w:r w:rsidR="00C15501" w:rsidRPr="00920516">
        <w:rPr>
          <w:vertAlign w:val="subscript"/>
        </w:rPr>
        <w:t>0</w:t>
      </w:r>
      <w:r w:rsidR="00920516" w:rsidRPr="00920516">
        <w:rPr>
          <w:vertAlign w:val="subscript"/>
        </w:rPr>
        <w:t>2</w:t>
      </w:r>
      <w:r w:rsidR="00C15501" w:rsidRPr="00920516">
        <w:rPr>
          <w:vertAlign w:val="subscript"/>
        </w:rPr>
        <w:t xml:space="preserve"> </w:t>
      </w:r>
      <w:r w:rsidR="00C15501" w:rsidRPr="00920516">
        <w:t>cohort gender</w:t>
      </w:r>
      <w:r w:rsidR="004D28AE" w:rsidRPr="00920516">
        <w:t xml:space="preserve"> </w:t>
      </w:r>
      <w:r w:rsidR="00920516" w:rsidRPr="00920516">
        <w:t xml:space="preserve">+ </w:t>
      </w:r>
      <w:r w:rsidR="008372A5">
        <w:tab/>
      </w:r>
      <w:r w:rsidR="008372A5">
        <w:tab/>
      </w:r>
      <w:r w:rsidR="008372A5" w:rsidRPr="00537AE3">
        <w:rPr>
          <w:szCs w:val="24"/>
        </w:rPr>
        <w:t>(</w:t>
      </w:r>
      <w:r w:rsidR="008372A5">
        <w:rPr>
          <w:szCs w:val="24"/>
        </w:rPr>
        <w:t>2</w:t>
      </w:r>
      <w:r w:rsidR="008372A5" w:rsidRPr="00537AE3">
        <w:rPr>
          <w:szCs w:val="24"/>
        </w:rPr>
        <w:t>)</w:t>
      </w:r>
      <w:r w:rsidR="008372A5">
        <w:br/>
      </w:r>
      <w:r w:rsidR="00920516">
        <w:t>γ</w:t>
      </w:r>
      <w:r w:rsidR="00920516" w:rsidRPr="00920516">
        <w:rPr>
          <w:vertAlign w:val="subscript"/>
        </w:rPr>
        <w:t>03</w:t>
      </w:r>
      <w:r w:rsidR="008372A5">
        <w:rPr>
          <w:vertAlign w:val="subscript"/>
        </w:rPr>
        <w:t xml:space="preserve"> </w:t>
      </w:r>
      <w:r w:rsidR="00920516" w:rsidRPr="00920516">
        <w:t xml:space="preserve">wave gender + </w:t>
      </w:r>
      <w:r w:rsidR="00920516">
        <w:t>γ</w:t>
      </w:r>
      <w:r w:rsidR="00920516" w:rsidRPr="00920516">
        <w:rPr>
          <w:vertAlign w:val="subscript"/>
        </w:rPr>
        <w:t xml:space="preserve">04 </w:t>
      </w:r>
      <w:r w:rsidR="00920516" w:rsidRPr="00920516">
        <w:t>wave co</w:t>
      </w:r>
      <w:r w:rsidR="00920516">
        <w:t>hort</w:t>
      </w:r>
      <w:r w:rsidR="00920516" w:rsidRPr="00920516">
        <w:t xml:space="preserve"> + </w:t>
      </w:r>
      <w:r w:rsidR="00920516">
        <w:t>γ</w:t>
      </w:r>
      <w:r w:rsidR="00920516" w:rsidRPr="00920516">
        <w:rPr>
          <w:vertAlign w:val="subscript"/>
        </w:rPr>
        <w:t>0</w:t>
      </w:r>
      <w:r w:rsidR="004F6842">
        <w:rPr>
          <w:vertAlign w:val="subscript"/>
        </w:rPr>
        <w:t>5</w:t>
      </w:r>
      <w:r w:rsidR="00920516" w:rsidRPr="00920516">
        <w:rPr>
          <w:vertAlign w:val="subscript"/>
        </w:rPr>
        <w:t xml:space="preserve"> </w:t>
      </w:r>
      <w:r w:rsidR="00920516" w:rsidRPr="00920516">
        <w:t>co</w:t>
      </w:r>
      <w:r w:rsidR="00920516">
        <w:t>hort</w:t>
      </w:r>
      <w:r w:rsidR="004F6842" w:rsidRPr="004F6842">
        <w:rPr>
          <w:vertAlign w:val="superscript"/>
        </w:rPr>
        <w:t>2</w:t>
      </w:r>
      <w:r w:rsidR="00920516" w:rsidRPr="00920516">
        <w:t xml:space="preserve"> </w:t>
      </w:r>
      <w:r w:rsidR="00E64202" w:rsidRPr="00920516">
        <w:t xml:space="preserve">+ </w:t>
      </w:r>
      <w:r w:rsidR="00876525" w:rsidRPr="00920516">
        <w:t>u</w:t>
      </w:r>
      <w:r w:rsidR="00E64202" w:rsidRPr="00920516">
        <w:rPr>
          <w:vertAlign w:val="subscript"/>
        </w:rPr>
        <w:t>0i</w:t>
      </w:r>
    </w:p>
    <w:p w14:paraId="1B679516" w14:textId="385C795B" w:rsidR="00074D26" w:rsidRDefault="00852C43" w:rsidP="00852C43">
      <w:pPr>
        <w:ind w:left="709" w:hanging="425"/>
        <w:rPr>
          <w:szCs w:val="24"/>
        </w:rPr>
      </w:pPr>
      <w:r>
        <w:rPr>
          <w:szCs w:val="24"/>
        </w:rPr>
        <w:t>Level 2 model: s</w:t>
      </w:r>
      <w:r w:rsidR="00074D26">
        <w:rPr>
          <w:szCs w:val="24"/>
        </w:rPr>
        <w:t>lope</w:t>
      </w:r>
    </w:p>
    <w:p w14:paraId="7260E4C6" w14:textId="79379012" w:rsidR="009E37A7" w:rsidRPr="004F6842" w:rsidRDefault="009E37A7" w:rsidP="008372A5">
      <w:pPr>
        <w:ind w:left="851" w:right="708"/>
        <w:rPr>
          <w:szCs w:val="24"/>
        </w:rPr>
      </w:pPr>
      <w:r w:rsidRPr="007979B3">
        <w:rPr>
          <w:szCs w:val="24"/>
        </w:rPr>
        <w:t>β</w:t>
      </w:r>
      <w:r w:rsidRPr="004F6842">
        <w:rPr>
          <w:szCs w:val="24"/>
          <w:vertAlign w:val="subscript"/>
        </w:rPr>
        <w:t>1i</w:t>
      </w:r>
      <w:r w:rsidRPr="004F6842">
        <w:rPr>
          <w:szCs w:val="24"/>
        </w:rPr>
        <w:t xml:space="preserve"> = </w:t>
      </w:r>
      <w:r>
        <w:t>γ</w:t>
      </w:r>
      <w:r w:rsidRPr="004F6842">
        <w:rPr>
          <w:vertAlign w:val="subscript"/>
        </w:rPr>
        <w:t>00</w:t>
      </w:r>
      <w:r w:rsidRPr="004F6842">
        <w:t xml:space="preserve"> </w:t>
      </w:r>
      <w:r w:rsidR="004F6842" w:rsidRPr="00920516">
        <w:t xml:space="preserve">+ </w:t>
      </w:r>
      <w:r w:rsidR="004F6842">
        <w:t>γ</w:t>
      </w:r>
      <w:r w:rsidR="004F6842" w:rsidRPr="00920516">
        <w:rPr>
          <w:vertAlign w:val="subscript"/>
        </w:rPr>
        <w:t>1</w:t>
      </w:r>
      <w:r w:rsidR="002407C0">
        <w:rPr>
          <w:vertAlign w:val="subscript"/>
        </w:rPr>
        <w:t>1</w:t>
      </w:r>
      <w:r w:rsidR="004F6842" w:rsidRPr="00920516">
        <w:rPr>
          <w:vertAlign w:val="subscript"/>
        </w:rPr>
        <w:t xml:space="preserve"> </w:t>
      </w:r>
      <w:r w:rsidR="004F6842" w:rsidRPr="00920516">
        <w:t xml:space="preserve">cohort + </w:t>
      </w:r>
      <w:r w:rsidR="004F6842">
        <w:t>γ</w:t>
      </w:r>
      <w:r w:rsidR="002407C0">
        <w:rPr>
          <w:vertAlign w:val="subscript"/>
        </w:rPr>
        <w:t>1</w:t>
      </w:r>
      <w:r w:rsidR="004F6842" w:rsidRPr="00920516">
        <w:rPr>
          <w:vertAlign w:val="subscript"/>
        </w:rPr>
        <w:t xml:space="preserve">1 </w:t>
      </w:r>
      <w:r w:rsidR="004F6842" w:rsidRPr="00920516">
        <w:t xml:space="preserve">gender + </w:t>
      </w:r>
      <w:r w:rsidR="004F6842">
        <w:t>γ</w:t>
      </w:r>
      <w:r w:rsidR="002407C0">
        <w:rPr>
          <w:vertAlign w:val="subscript"/>
        </w:rPr>
        <w:t>1</w:t>
      </w:r>
      <w:r w:rsidR="004F6842" w:rsidRPr="00920516">
        <w:rPr>
          <w:vertAlign w:val="subscript"/>
        </w:rPr>
        <w:t xml:space="preserve">2 </w:t>
      </w:r>
      <w:r w:rsidR="004F6842" w:rsidRPr="00920516">
        <w:t xml:space="preserve">cohort gender + </w:t>
      </w:r>
      <w:r w:rsidR="008372A5">
        <w:tab/>
      </w:r>
      <w:r w:rsidR="008372A5">
        <w:tab/>
      </w:r>
      <w:r w:rsidR="008372A5" w:rsidRPr="00537AE3">
        <w:rPr>
          <w:szCs w:val="24"/>
        </w:rPr>
        <w:t>(</w:t>
      </w:r>
      <w:r w:rsidR="008372A5">
        <w:rPr>
          <w:szCs w:val="24"/>
        </w:rPr>
        <w:t>3</w:t>
      </w:r>
      <w:r w:rsidR="008372A5" w:rsidRPr="00537AE3">
        <w:rPr>
          <w:szCs w:val="24"/>
        </w:rPr>
        <w:t>)</w:t>
      </w:r>
      <w:r w:rsidR="008372A5">
        <w:br/>
      </w:r>
      <w:r w:rsidR="004F6842">
        <w:t>γ</w:t>
      </w:r>
      <w:r w:rsidR="002407C0">
        <w:rPr>
          <w:vertAlign w:val="subscript"/>
        </w:rPr>
        <w:t>1</w:t>
      </w:r>
      <w:r w:rsidR="004F6842" w:rsidRPr="00920516">
        <w:rPr>
          <w:vertAlign w:val="subscript"/>
        </w:rPr>
        <w:t xml:space="preserve">3 </w:t>
      </w:r>
      <w:r w:rsidR="004F6842" w:rsidRPr="00920516">
        <w:t xml:space="preserve">wave gender + </w:t>
      </w:r>
      <w:r w:rsidR="004F6842">
        <w:t>γ</w:t>
      </w:r>
      <w:r w:rsidR="002407C0">
        <w:rPr>
          <w:vertAlign w:val="subscript"/>
        </w:rPr>
        <w:t>1</w:t>
      </w:r>
      <w:r w:rsidR="004F6842" w:rsidRPr="00920516">
        <w:rPr>
          <w:vertAlign w:val="subscript"/>
        </w:rPr>
        <w:t xml:space="preserve">4 </w:t>
      </w:r>
      <w:r w:rsidR="004F6842" w:rsidRPr="00920516">
        <w:t>wave co</w:t>
      </w:r>
      <w:r w:rsidR="004F6842">
        <w:t>hort</w:t>
      </w:r>
      <w:r w:rsidR="004F6842" w:rsidRPr="00920516">
        <w:t xml:space="preserve"> + </w:t>
      </w:r>
      <w:r w:rsidR="004F6842">
        <w:t>γ</w:t>
      </w:r>
      <w:r w:rsidR="002407C0">
        <w:rPr>
          <w:vertAlign w:val="subscript"/>
        </w:rPr>
        <w:t>1</w:t>
      </w:r>
      <w:r w:rsidR="004F6842">
        <w:rPr>
          <w:vertAlign w:val="subscript"/>
        </w:rPr>
        <w:t>5</w:t>
      </w:r>
      <w:r w:rsidR="004F6842" w:rsidRPr="00920516">
        <w:rPr>
          <w:vertAlign w:val="subscript"/>
        </w:rPr>
        <w:t xml:space="preserve"> </w:t>
      </w:r>
      <w:r w:rsidR="004F6842" w:rsidRPr="00920516">
        <w:t>co</w:t>
      </w:r>
      <w:r w:rsidR="004F6842">
        <w:t>hort</w:t>
      </w:r>
      <w:r w:rsidR="004F6842" w:rsidRPr="004F6842">
        <w:rPr>
          <w:vertAlign w:val="superscript"/>
        </w:rPr>
        <w:t>2</w:t>
      </w:r>
      <w:r w:rsidR="004F6842" w:rsidRPr="00920516">
        <w:t xml:space="preserve"> </w:t>
      </w:r>
      <w:r w:rsidRPr="004F6842">
        <w:t>+ u</w:t>
      </w:r>
      <w:r w:rsidRPr="004F6842">
        <w:rPr>
          <w:vertAlign w:val="subscript"/>
        </w:rPr>
        <w:t>0i</w:t>
      </w:r>
    </w:p>
    <w:p w14:paraId="5F16CDB5" w14:textId="218D0DB9" w:rsidR="000F386E" w:rsidRDefault="006C3781">
      <w:r>
        <w:t xml:space="preserve">The model above </w:t>
      </w:r>
      <w:r w:rsidR="004C6205">
        <w:t xml:space="preserve">first specifies the level 1 </w:t>
      </w:r>
      <w:r w:rsidR="00FA1FD6">
        <w:t xml:space="preserve">model that predicts ADL for each individual </w:t>
      </w:r>
      <w:r w:rsidR="002E58C3">
        <w:t>(</w:t>
      </w:r>
      <w:proofErr w:type="spellStart"/>
      <w:r w:rsidR="002E58C3">
        <w:t>i</w:t>
      </w:r>
      <w:proofErr w:type="spellEnd"/>
      <w:r w:rsidR="002E58C3">
        <w:t xml:space="preserve">) at each observed time unit (t). </w:t>
      </w:r>
      <w:r w:rsidR="0055686A">
        <w:t xml:space="preserve">The time </w:t>
      </w:r>
      <w:r w:rsidR="001C6770">
        <w:t>measurement in this study was</w:t>
      </w:r>
      <w:r w:rsidR="002810FA">
        <w:t xml:space="preserve"> the wave that the </w:t>
      </w:r>
      <w:r w:rsidR="00432C6E">
        <w:t xml:space="preserve">individual was observed in (from 1 to 7). We included a quadratic </w:t>
      </w:r>
      <w:r w:rsidR="00FE2ED7">
        <w:t xml:space="preserve">wave </w:t>
      </w:r>
      <w:r w:rsidR="00432C6E">
        <w:t xml:space="preserve">term </w:t>
      </w:r>
      <w:r w:rsidR="00FE2ED7">
        <w:t>to allow the ADL trajectories to be non-linear.</w:t>
      </w:r>
      <w:r w:rsidR="00537AE3">
        <w:t xml:space="preserve"> In equation 1, the intercept β0i gives the mean </w:t>
      </w:r>
      <w:r w:rsidR="00B44450">
        <w:t>ADL</w:t>
      </w:r>
      <w:r w:rsidR="00537AE3">
        <w:t xml:space="preserve"> of person </w:t>
      </w:r>
      <w:proofErr w:type="spellStart"/>
      <w:r w:rsidR="00537AE3">
        <w:t>i</w:t>
      </w:r>
      <w:proofErr w:type="spellEnd"/>
      <w:r w:rsidR="00537AE3">
        <w:t xml:space="preserve"> in wave </w:t>
      </w:r>
      <w:r w:rsidR="00B44450">
        <w:t>1 or wave 2</w:t>
      </w:r>
      <w:r w:rsidR="00537AE3">
        <w:t xml:space="preserve"> while β1i and β2i give the linear and quadratic growth of </w:t>
      </w:r>
      <w:r w:rsidR="00B44450">
        <w:t>ADL</w:t>
      </w:r>
      <w:r w:rsidR="00537AE3">
        <w:t xml:space="preserve"> over time for individual </w:t>
      </w:r>
      <w:proofErr w:type="spellStart"/>
      <w:r w:rsidR="00537AE3">
        <w:t>i</w:t>
      </w:r>
      <w:proofErr w:type="spellEnd"/>
      <w:r w:rsidR="00537AE3">
        <w:t>.</w:t>
      </w:r>
      <w:r w:rsidR="00B44450">
        <w:t xml:space="preserve"> In </w:t>
      </w:r>
      <w:r w:rsidR="00437C1C">
        <w:t xml:space="preserve">equation 2 and 3 the intercept and slope for </w:t>
      </w:r>
      <w:proofErr w:type="gramStart"/>
      <w:r w:rsidR="00437C1C">
        <w:t>each individual</w:t>
      </w:r>
      <w:proofErr w:type="gramEnd"/>
      <w:r w:rsidR="00437C1C">
        <w:t xml:space="preserve"> is defined</w:t>
      </w:r>
      <w:r w:rsidR="00220EE3">
        <w:t>.</w:t>
      </w:r>
      <w:r w:rsidR="004D0BC6">
        <w:t xml:space="preserve"> The inclusion of cohort </w:t>
      </w:r>
      <w:r w:rsidR="009B68E5">
        <w:t xml:space="preserve">and gender </w:t>
      </w:r>
      <w:r w:rsidR="00377FD8">
        <w:t xml:space="preserve">enables the modelling of the intercept and the slope </w:t>
      </w:r>
      <w:r w:rsidR="008C0BC9">
        <w:t xml:space="preserve">separately for </w:t>
      </w:r>
      <w:r w:rsidR="002B05EA">
        <w:t xml:space="preserve">each cohort </w:t>
      </w:r>
      <w:r w:rsidR="009B68E5">
        <w:t xml:space="preserve">and </w:t>
      </w:r>
      <w:r w:rsidR="008C0BC9">
        <w:t>gender</w:t>
      </w:r>
      <w:r w:rsidR="009B68E5">
        <w:t>.</w:t>
      </w:r>
      <w:r w:rsidR="008C0BC9">
        <w:t xml:space="preserve"> Moreover, </w:t>
      </w:r>
      <w:r w:rsidR="00860172">
        <w:t>an interaction term was included between gender and cohort, and between wave and cohort to allow for different trajectories</w:t>
      </w:r>
      <w:r w:rsidR="00E85509">
        <w:t xml:space="preserve"> across waves and between genders.</w:t>
      </w:r>
    </w:p>
    <w:p w14:paraId="3B544861" w14:textId="42153123" w:rsidR="00076E6F" w:rsidRDefault="00425E8C">
      <w:r>
        <w:t>From these models a</w:t>
      </w:r>
      <w:r w:rsidR="00165D8E">
        <w:t xml:space="preserve">verage marginal effects </w:t>
      </w:r>
      <w:r>
        <w:t xml:space="preserve">(AMEs) </w:t>
      </w:r>
      <w:r w:rsidR="001A5FD0">
        <w:t>were</w:t>
      </w:r>
      <w:r w:rsidR="00260127">
        <w:t xml:space="preserve"> predicted for each cohort across waves and by gender</w:t>
      </w:r>
      <w:r>
        <w:t>.</w:t>
      </w:r>
      <w:r w:rsidR="007322CA">
        <w:t xml:space="preserve"> In the</w:t>
      </w:r>
      <w:r w:rsidR="00B54292">
        <w:t xml:space="preserve"> final step, wave was transformed into the average age of each cohort at each given observation.</w:t>
      </w:r>
      <w:r w:rsidR="007322CA">
        <w:t xml:space="preserve"> </w:t>
      </w:r>
    </w:p>
    <w:p w14:paraId="34F5BA55" w14:textId="46A4DEF3" w:rsidR="00076E6F" w:rsidRDefault="00076E6F" w:rsidP="00076E6F">
      <w:pPr>
        <w:pStyle w:val="Rubrik2"/>
        <w:rPr>
          <w:noProof/>
        </w:rPr>
      </w:pPr>
      <w:r>
        <w:rPr>
          <w:noProof/>
        </w:rPr>
        <w:t>Results</w:t>
      </w:r>
    </w:p>
    <w:p w14:paraId="3E09EDB7" w14:textId="605C8D3D" w:rsidR="00076E6F" w:rsidRDefault="00076E6F" w:rsidP="00076E6F">
      <w:r>
        <w:t xml:space="preserve">Figure 1 shows the </w:t>
      </w:r>
      <w:r w:rsidR="007322CA">
        <w:t xml:space="preserve">predicted number of ADL problems </w:t>
      </w:r>
      <w:r w:rsidR="00B17672">
        <w:t xml:space="preserve">across age </w:t>
      </w:r>
      <w:r w:rsidR="00283D63">
        <w:t xml:space="preserve">for each cohort and for each gender. </w:t>
      </w:r>
      <w:r w:rsidR="00BB0B0C">
        <w:t>In all cohorts, women have higher ADL problems than men.</w:t>
      </w:r>
      <w:r w:rsidR="008B6E63">
        <w:t xml:space="preserve"> At each age, </w:t>
      </w:r>
      <w:r w:rsidR="007D1DFF">
        <w:t>older cohorts have lower levels of ADL problems compared to younger cohorts.</w:t>
      </w:r>
    </w:p>
    <w:p w14:paraId="59A34ADB" w14:textId="1E298C18" w:rsidR="00634111" w:rsidRDefault="00BC205F" w:rsidP="00076E6F">
      <w:r>
        <w:t xml:space="preserve">In Figure 2 the same numbers are plotted split by region. </w:t>
      </w:r>
      <w:r w:rsidR="00E410C6">
        <w:t xml:space="preserve">ADL problems </w:t>
      </w:r>
      <w:r w:rsidR="00363679">
        <w:t>increases to a higher degree in older cohorts in Southern Europe</w:t>
      </w:r>
      <w:r w:rsidR="009E4D80">
        <w:t xml:space="preserve">. Gender differences in ADL problems are more </w:t>
      </w:r>
      <w:r w:rsidR="009E4D80">
        <w:lastRenderedPageBreak/>
        <w:t>pronounced in Eastern European countries and in Southern European countries compared to Northern Europe and Western Europe</w:t>
      </w:r>
      <w:r w:rsidR="00DC73BA">
        <w:t>.</w:t>
      </w:r>
    </w:p>
    <w:p w14:paraId="3AF032AF" w14:textId="1EE4A322" w:rsidR="00C05E62" w:rsidRPr="00076E6F" w:rsidRDefault="00C05E62" w:rsidP="00076E6F">
      <w:r>
        <w:t>Figure 3 shows the same numbers for each included country.</w:t>
      </w:r>
    </w:p>
    <w:p w14:paraId="081551F4" w14:textId="77777777" w:rsidR="00076E6F" w:rsidRPr="002407C0" w:rsidRDefault="00076E6F"/>
    <w:p w14:paraId="4AF99C48" w14:textId="048A3981" w:rsidR="00670474" w:rsidRDefault="00670474">
      <w:r>
        <w:rPr>
          <w:noProof/>
        </w:rPr>
        <w:drawing>
          <wp:inline distT="0" distB="0" distL="0" distR="0" wp14:anchorId="5B7B074C" wp14:editId="7240DA80">
            <wp:extent cx="5756910" cy="46303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5"/>
                    <a:stretch/>
                  </pic:blipFill>
                  <pic:spPr bwMode="auto">
                    <a:xfrm>
                      <a:off x="0" y="0"/>
                      <a:ext cx="5756910" cy="46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1311E" w14:textId="354E581E" w:rsidR="00670474" w:rsidRDefault="00670474" w:rsidP="00242C63">
      <w:r w:rsidRPr="0002203A">
        <w:rPr>
          <w:b/>
          <w:bCs/>
        </w:rPr>
        <w:t>Figure 1.</w:t>
      </w:r>
      <w:r>
        <w:t xml:space="preserve"> ADL in 13 </w:t>
      </w:r>
      <w:r w:rsidR="003967B9">
        <w:t>E</w:t>
      </w:r>
      <w:r>
        <w:t xml:space="preserve">uropean countries, 2004 </w:t>
      </w:r>
      <w:r w:rsidR="003967B9">
        <w:t>–</w:t>
      </w:r>
      <w:r>
        <w:t xml:space="preserve"> 2017</w:t>
      </w:r>
      <w:r w:rsidR="003967B9">
        <w:t>. Pooled data.</w:t>
      </w:r>
    </w:p>
    <w:p w14:paraId="5B829BC8" w14:textId="4506A822" w:rsidR="001813BA" w:rsidRDefault="001813BA"/>
    <w:p w14:paraId="2B6D061B" w14:textId="7C831A7D" w:rsidR="0073765E" w:rsidRDefault="00DC4717">
      <w:r>
        <w:br w:type="page"/>
      </w:r>
    </w:p>
    <w:p w14:paraId="2599C9AD" w14:textId="42A90D7F" w:rsidR="0073765E" w:rsidRDefault="00AA5F5A" w:rsidP="00AA5F5A">
      <w:pPr>
        <w:ind w:left="-1134" w:right="-1134"/>
      </w:pPr>
      <w:r>
        <w:rPr>
          <w:noProof/>
        </w:rPr>
        <w:lastRenderedPageBreak/>
        <w:drawing>
          <wp:inline distT="0" distB="0" distL="0" distR="0" wp14:anchorId="7EE36756" wp14:editId="4B0B7288">
            <wp:extent cx="7113270" cy="7308623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"/>
                    <a:stretch/>
                  </pic:blipFill>
                  <pic:spPr bwMode="auto">
                    <a:xfrm>
                      <a:off x="0" y="0"/>
                      <a:ext cx="7113600" cy="73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AB703" w14:textId="5386E2BF" w:rsidR="0073765E" w:rsidRDefault="0073765E" w:rsidP="00242C63">
      <w:r w:rsidRPr="0002203A">
        <w:rPr>
          <w:b/>
          <w:bCs/>
        </w:rPr>
        <w:t xml:space="preserve">Figure </w:t>
      </w:r>
      <w:r w:rsidR="0002203A">
        <w:rPr>
          <w:b/>
          <w:bCs/>
        </w:rPr>
        <w:t>2</w:t>
      </w:r>
      <w:r w:rsidRPr="0002203A">
        <w:rPr>
          <w:b/>
          <w:bCs/>
        </w:rPr>
        <w:t>.</w:t>
      </w:r>
      <w:r>
        <w:t xml:space="preserve"> ADL in 13 European countries, 2004 – 2017. Grouped by region.</w:t>
      </w:r>
    </w:p>
    <w:p w14:paraId="00A719EA" w14:textId="77777777" w:rsidR="00DC4717" w:rsidRDefault="00DC4717"/>
    <w:p w14:paraId="0B1B4893" w14:textId="345A7584" w:rsidR="001813BA" w:rsidRDefault="00616123" w:rsidP="003967B9">
      <w:pPr>
        <w:ind w:left="-567" w:right="-284"/>
        <w:jc w:val="center"/>
      </w:pPr>
      <w:r w:rsidRPr="00616123">
        <w:rPr>
          <w:noProof/>
        </w:rPr>
        <w:lastRenderedPageBreak/>
        <w:drawing>
          <wp:inline distT="0" distB="0" distL="0" distR="0" wp14:anchorId="6F6A4FEC" wp14:editId="681A9064">
            <wp:extent cx="6322908" cy="8820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426" cy="88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1D7A" w14:textId="0020A758" w:rsidR="001458F0" w:rsidRDefault="00894C8A" w:rsidP="003967B9">
      <w:pPr>
        <w:ind w:left="-567" w:right="-284"/>
        <w:jc w:val="center"/>
      </w:pPr>
      <w:r w:rsidRPr="00894C8A">
        <w:rPr>
          <w:noProof/>
        </w:rPr>
        <w:lastRenderedPageBreak/>
        <w:drawing>
          <wp:inline distT="0" distB="0" distL="0" distR="0" wp14:anchorId="6257B763" wp14:editId="6A104F90">
            <wp:extent cx="6333095" cy="6962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0276" cy="69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9240" w14:textId="69006830" w:rsidR="00141E2C" w:rsidRPr="0002203A" w:rsidRDefault="003967B9" w:rsidP="003967B9">
      <w:r w:rsidRPr="0002203A">
        <w:rPr>
          <w:b/>
          <w:bCs/>
        </w:rPr>
        <w:t xml:space="preserve">Figure </w:t>
      </w:r>
      <w:r w:rsidR="0002203A">
        <w:rPr>
          <w:b/>
          <w:bCs/>
        </w:rPr>
        <w:t>3</w:t>
      </w:r>
      <w:r w:rsidRPr="0002203A">
        <w:t>. ADL in 13 European countries, 2004 – 2017.</w:t>
      </w:r>
    </w:p>
    <w:p w14:paraId="77455825" w14:textId="4E8E328A" w:rsidR="003967B9" w:rsidRDefault="003967B9" w:rsidP="00EC1E71">
      <w:bookmarkStart w:id="0" w:name="_GoBack"/>
      <w:bookmarkEnd w:id="0"/>
    </w:p>
    <w:sectPr w:rsidR="0039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FF"/>
    <w:rsid w:val="0002203A"/>
    <w:rsid w:val="00046109"/>
    <w:rsid w:val="00074D26"/>
    <w:rsid w:val="00076E6F"/>
    <w:rsid w:val="000A55D4"/>
    <w:rsid w:val="000B1DA9"/>
    <w:rsid w:val="000B1FC0"/>
    <w:rsid w:val="000E0077"/>
    <w:rsid w:val="000E7075"/>
    <w:rsid w:val="000F386E"/>
    <w:rsid w:val="0014155C"/>
    <w:rsid w:val="00141E2C"/>
    <w:rsid w:val="001458F0"/>
    <w:rsid w:val="00154358"/>
    <w:rsid w:val="00165D8E"/>
    <w:rsid w:val="001813BA"/>
    <w:rsid w:val="001831A8"/>
    <w:rsid w:val="001A107B"/>
    <w:rsid w:val="001A5FD0"/>
    <w:rsid w:val="001C65E4"/>
    <w:rsid w:val="001C666E"/>
    <w:rsid w:val="001C6770"/>
    <w:rsid w:val="00210391"/>
    <w:rsid w:val="00220EE3"/>
    <w:rsid w:val="002407C0"/>
    <w:rsid w:val="00242C63"/>
    <w:rsid w:val="00260127"/>
    <w:rsid w:val="002810FA"/>
    <w:rsid w:val="00283D63"/>
    <w:rsid w:val="002B05EA"/>
    <w:rsid w:val="002D1516"/>
    <w:rsid w:val="002E2BE5"/>
    <w:rsid w:val="002E58C3"/>
    <w:rsid w:val="003507BB"/>
    <w:rsid w:val="00350D3F"/>
    <w:rsid w:val="00363679"/>
    <w:rsid w:val="00377FD8"/>
    <w:rsid w:val="003967B9"/>
    <w:rsid w:val="003E1FB9"/>
    <w:rsid w:val="004042F4"/>
    <w:rsid w:val="00425E8C"/>
    <w:rsid w:val="00432C6E"/>
    <w:rsid w:val="00437C1C"/>
    <w:rsid w:val="004B20CC"/>
    <w:rsid w:val="004B32A0"/>
    <w:rsid w:val="004C6205"/>
    <w:rsid w:val="004D0BC6"/>
    <w:rsid w:val="004D28AE"/>
    <w:rsid w:val="004F05E7"/>
    <w:rsid w:val="004F6842"/>
    <w:rsid w:val="00537AE3"/>
    <w:rsid w:val="0055686A"/>
    <w:rsid w:val="00616123"/>
    <w:rsid w:val="0061741F"/>
    <w:rsid w:val="00634111"/>
    <w:rsid w:val="00663EF8"/>
    <w:rsid w:val="00670474"/>
    <w:rsid w:val="006810CC"/>
    <w:rsid w:val="00685201"/>
    <w:rsid w:val="006B6EF6"/>
    <w:rsid w:val="006C3781"/>
    <w:rsid w:val="007322CA"/>
    <w:rsid w:val="0073765E"/>
    <w:rsid w:val="0074175B"/>
    <w:rsid w:val="00772DD1"/>
    <w:rsid w:val="007979B3"/>
    <w:rsid w:val="007D1DFF"/>
    <w:rsid w:val="007D317F"/>
    <w:rsid w:val="00812E56"/>
    <w:rsid w:val="008372A5"/>
    <w:rsid w:val="00844ACD"/>
    <w:rsid w:val="00852C43"/>
    <w:rsid w:val="00860172"/>
    <w:rsid w:val="00876525"/>
    <w:rsid w:val="00877C77"/>
    <w:rsid w:val="00894C8A"/>
    <w:rsid w:val="008B6E63"/>
    <w:rsid w:val="008C0BC9"/>
    <w:rsid w:val="008F446B"/>
    <w:rsid w:val="00910EB4"/>
    <w:rsid w:val="00920516"/>
    <w:rsid w:val="00941AC0"/>
    <w:rsid w:val="00965BAB"/>
    <w:rsid w:val="009A167E"/>
    <w:rsid w:val="009B68E5"/>
    <w:rsid w:val="009E37A7"/>
    <w:rsid w:val="009E4D80"/>
    <w:rsid w:val="00A34809"/>
    <w:rsid w:val="00A84DF9"/>
    <w:rsid w:val="00AA5F5A"/>
    <w:rsid w:val="00AD448B"/>
    <w:rsid w:val="00AE494E"/>
    <w:rsid w:val="00AE753A"/>
    <w:rsid w:val="00B17672"/>
    <w:rsid w:val="00B44450"/>
    <w:rsid w:val="00B54292"/>
    <w:rsid w:val="00B6498D"/>
    <w:rsid w:val="00B8010F"/>
    <w:rsid w:val="00B82B8A"/>
    <w:rsid w:val="00BA7193"/>
    <w:rsid w:val="00BB0B0C"/>
    <w:rsid w:val="00BB21FF"/>
    <w:rsid w:val="00BC205F"/>
    <w:rsid w:val="00BE491D"/>
    <w:rsid w:val="00C05E62"/>
    <w:rsid w:val="00C15501"/>
    <w:rsid w:val="00C4277B"/>
    <w:rsid w:val="00CD7A38"/>
    <w:rsid w:val="00D50593"/>
    <w:rsid w:val="00DC4717"/>
    <w:rsid w:val="00DC73BA"/>
    <w:rsid w:val="00E357AB"/>
    <w:rsid w:val="00E410C6"/>
    <w:rsid w:val="00E64202"/>
    <w:rsid w:val="00E72A93"/>
    <w:rsid w:val="00E73D37"/>
    <w:rsid w:val="00E85509"/>
    <w:rsid w:val="00E903F5"/>
    <w:rsid w:val="00EC1E71"/>
    <w:rsid w:val="00F77A9A"/>
    <w:rsid w:val="00F867AB"/>
    <w:rsid w:val="00FA1FD6"/>
    <w:rsid w:val="00FC608F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53DE"/>
  <w15:chartTrackingRefBased/>
  <w15:docId w15:val="{E2F62704-F755-4E88-8DD8-025BE24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C63"/>
    <w:rPr>
      <w:rFonts w:ascii="Times New Roman" w:hAnsi="Times New Roman"/>
      <w:sz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242C6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2C6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2C63"/>
    <w:rPr>
      <w:rFonts w:ascii="Arial" w:eastAsiaTheme="majorEastAsia" w:hAnsi="Arial" w:cstheme="majorBidi"/>
      <w:b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2C63"/>
    <w:rPr>
      <w:rFonts w:ascii="Arial" w:eastAsiaTheme="majorEastAsia" w:hAnsi="Arial" w:cstheme="majorBidi"/>
      <w:b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A7ABDED4E54499F42715CA2DE4F48" ma:contentTypeVersion="13" ma:contentTypeDescription="Skapa ett nytt dokument." ma:contentTypeScope="" ma:versionID="7d29c27c7fee062fe5b5a31a0c9359a5">
  <xsd:schema xmlns:xsd="http://www.w3.org/2001/XMLSchema" xmlns:xs="http://www.w3.org/2001/XMLSchema" xmlns:p="http://schemas.microsoft.com/office/2006/metadata/properties" xmlns:ns3="f7d9f4da-dc1e-43e3-8e51-3c45590d5144" xmlns:ns4="0835ced6-1788-4b04-9c13-ff76d7ff94b4" targetNamespace="http://schemas.microsoft.com/office/2006/metadata/properties" ma:root="true" ma:fieldsID="f0a1692cff6cca30b8b0fbe86faef25a" ns3:_="" ns4:_="">
    <xsd:import namespace="f7d9f4da-dc1e-43e3-8e51-3c45590d5144"/>
    <xsd:import namespace="0835ced6-1788-4b04-9c13-ff76d7ff9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4da-dc1e-43e3-8e51-3c45590d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ced6-1788-4b04-9c13-ff76d7ff9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7755B-91DB-4DC3-8F50-D748170FF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f4da-dc1e-43e3-8e51-3c45590d5144"/>
    <ds:schemaRef ds:uri="0835ced6-1788-4b04-9c13-ff76d7ff9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C76E4-90A0-4E6D-B4A2-87E95E6DE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7D544-7B81-4544-8A33-19FDE02A6FD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0835ced6-1788-4b04-9c13-ff76d7ff94b4"/>
    <ds:schemaRef ds:uri="http://schemas.openxmlformats.org/package/2006/metadata/core-properties"/>
    <ds:schemaRef ds:uri="f7d9f4da-dc1e-43e3-8e51-3c45590d5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4282</Characters>
  <Application>Microsoft Office Word</Application>
  <DocSecurity>4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Rehnberg</dc:creator>
  <cp:keywords/>
  <dc:description/>
  <cp:lastModifiedBy>Stefan Fors</cp:lastModifiedBy>
  <cp:revision>2</cp:revision>
  <dcterms:created xsi:type="dcterms:W3CDTF">2020-03-23T14:51:00Z</dcterms:created>
  <dcterms:modified xsi:type="dcterms:W3CDTF">2020-03-23T14:51:00Z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zotero-version="5.0.82"&gt;&lt;session id="zd8P8Mu0"/&gt;&lt;style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0x0101006A6A7ABDED4E54499F42715CA2DE4F48</vt:lpwstr>
  </property>
</Properties>
</file>